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eastAsiaTheme="minorHAnsi"/>
          <w:lang w:val="en-AU"/>
        </w:rPr>
        <w:id w:val="1531840972"/>
        <w:docPartObj>
          <w:docPartGallery w:val="Cover Pages"/>
          <w:docPartUnique/>
        </w:docPartObj>
      </w:sdtPr>
      <w:sdtEndPr>
        <w:rPr>
          <w:rFonts w:eastAsiaTheme="minorEastAsia"/>
        </w:rPr>
      </w:sdtEndPr>
      <w:sdtContent>
        <w:p w:rsidR="005C623A" w:rsidRDefault="005C623A">
          <w:pPr>
            <w:pStyle w:val="a3"/>
          </w:pPr>
          <w:r>
            <w:rPr>
              <w:noProof/>
              <w:lang w:eastAsia="ko-KR"/>
            </w:rPr>
            <mc:AlternateContent>
              <mc:Choice Requires="wpg">
                <w:drawing>
                  <wp:anchor distT="0" distB="0" distL="114300" distR="114300" simplePos="0" relativeHeight="251659264" behindDoc="1" locked="0" layoutInCell="1" allowOverlap="1" wp14:anchorId="02D1D9EB" wp14:editId="47A1CEC2">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2" name="Group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C5454" w:rsidRDefault="009C5454">
                                  <w:pPr>
                                    <w:pStyle w:val="a3"/>
                                    <w:jc w:val="right"/>
                                    <w:rPr>
                                      <w:color w:val="FFFFFF" w:themeColor="background1"/>
                                      <w:sz w:val="28"/>
                                      <w:szCs w:val="28"/>
                                    </w:rPr>
                                  </w:pPr>
                                  <w:r>
                                    <w:rPr>
                                      <w:color w:val="FFFFFF" w:themeColor="background1"/>
                                      <w:sz w:val="28"/>
                                      <w:szCs w:val="28"/>
                                    </w:rPr>
                                    <w:t>Due 29 May 2015</w:t>
                                  </w:r>
                                </w:p>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wpg:grpSpPr>
                            <wpg:grpSp>
                              <wpg:cNvPr id="6" name="Group 6"/>
                              <wpg:cNvGrpSpPr>
                                <a:grpSpLocks noChangeAspect="1"/>
                              </wpg:cNvGrpSpPr>
                              <wpg:grpSpPr>
                                <a:xfrm>
                                  <a:off x="141062" y="4211812"/>
                                  <a:ext cx="1047750" cy="3121026"/>
                                  <a:chOff x="141062" y="4211812"/>
                                  <a:chExt cx="10477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4826972"/>
                                  <a:ext cx="1306273" cy="2505863"/>
                                  <a:chOff x="80645" y="4649964"/>
                                  <a:chExt cx="874712" cy="1677988"/>
                                </a:xfrm>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id="Group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T1SViQAAIAEAQAOAAAAZHJzL2Uyb0RvYy54bWzsXW1vIzeS/n7A/QfBHw+4HfWLWpKxk0WQ&#10;NxyQ3Q02PuxnjSyPjZMlnaSJJ/fr76kqkio2i92KpWSTmc6HyGOVnyaryaqnikXyz3/5+Lwe/bTa&#10;H562m7c3xZ/GN6PVZrm9f9q8f3vz33ff/ufsZnQ4Ljb3i/V2s3p78/PqcPOXL/793/78srtdldvH&#10;7fp+tR8BZHO4fdm9vXk8Hne3b94clo+r58XhT9vdaoMvH7b758UR/9y/f3O/X7wA/Xn9phyPmzcv&#10;2/39br9drg4H/PZr+fLmC8Z/eFgtj39/eDisjqP12xu07cj/3/P/39H/33zx58Xt+/1i9/i0dM1Y&#10;vKIVz4unDR4aoL5eHBejD/unBOr5abnfHrYPxz8tt89vtg8PT8sV9wG9Kcat3ny3337YcV/e3768&#10;3wU1QbUtPb0advm3n37Yj57u396UN6PN4hmviJ86Kkk1L7v3t5D4br/7cffD3v3ivfyLevvxYf9M&#10;n+jH6CMr9eeg1NXH42iJX5bFvJ400P0S382LcjItGHtxu3zEu0n+bvn4Tc9fvvEPfkPtC8152WEI&#10;HU5aOlympR8fF7sVK/9AOnBaqryW/oGhtdi8X69GlWiKpYKaDrcHaOxcHZGKqkmiotDRxe1ufzh+&#10;t9o+j+iHtzd7PJ3H2+Kn7w9HvBiIehF66GG7frr/9mm95n/QZFp9td6PflpgGhw/sv7xF5HUekOy&#10;my39lQDSb6Bi3xX+6fjzekVy680/Vg8YN/SCuSE8Y08PWSyXq82xkK8eF/crefZkjP9IX/R03yz+&#10;FwMS8gOeH7AdgJcUEI8tME6e/nTFEz788birYfLH4S/4ydvNMfzx89Nmu7cA1uiVe7LIeyWJakhL&#10;77b3P2O87Ldibg675bdPeG3fLw7HHxZ72BfMBthMfPu43f/fzegF9uftzeF/Pyz2q5vR+r82GLrz&#10;oq7JYPE/6sm0xD/2+pt3+pvNh+evtni3Baztbsk/kvxx7X982G+f/wlT+SU9FV8tNks8++3N8rj3&#10;//jqKHYRxna5+vJLFoOR2i2O329+3C0JnLREw+zu4z8X+50bi0fM9L9t/XRZ3LaGpMjSX262X344&#10;bh+eeLye9OT0h6lLBuc3mMO1n8M/YIgu3m83o/oVU7iom2Y2cR7ENHaTSTmeTNxg8abSz1KnvMft&#10;8+qH9eJIliZRHU14+vUwNR+uNTWPH999xOw9jb4rztIwQ4tZOZvhXzJF8cOnMz2dvw3UwLlF+C5N&#10;HnjQ/0LyMG3A525GIAl1WYzHycwaT6Y1CRCNqOfFuCpnNLUUjZiNmxoNEYRidqIZnlAU1bgpp3Dh&#10;hFEVeEzZRNOzTSgyvW3i3jJG3FtqFxOT77fL/zmMNtuvHkEWVl8ednDcZEnJg7T/JGIznuMEclXU&#10;BVqfds+bnmJcT6fQWrtzSkE5iBPlyoEEJtLW0G9grsnzyeD6dr9aUSgwwq/cJAYzI85F+j7sWNmi&#10;2cDGZK4TGRu9e/nr9h4EdwEvxObW22RHX6tm3jgNN2XRzEoexqAVjo8W86qZOpbWzGH7PZPxOMsP&#10;QtKoNd4LYhzcg6LxgLh3/bhDjx6e1yAC//FmNB69jIrSUeL3QQSeXIk8jogN8HA/iWAwBJFqbsNg&#10;sAeZYlKOTCA4xCA0q20g9DvIVOPaBsLECELok400VUJ1MbWREDb2I82VEPRjIxVa2dPGblOh1Q0r&#10;kYE6R+NFpPJZrlVa57lGaZ1PqkybtM5zY0mrXDUIszoMzsWjBBIwFx83bsDiJxBFRJvCpHfbA0Vr&#10;NHphP+88DYYUje6MsFisOw6S8LxuYSiFkD1n6hZGx0l46ix4tzDGEwnPzxKmIcM9PK+LcDQifl4n&#10;C9fL4rxuFq6fRdRRUaV7TxQNthMce9CPtzfvxGaAw9PrpddEP45e4IJgckaPcKWwK/T75+1Pq7st&#10;SxxbMTmedfp2vdFSFaYgNAXL4hTrv/afOwabSZdhNzrFuE2Ag1U4T05sItrnH+c/5bFTUR3mcyec&#10;7wQoGzmPHJqATfxL9o/yn/JIGTltoOV6e1gJNumfHxLeCb1K5TiioDzEyD2hO71RF+7+8sifQpKv&#10;F4dHeQY/nxSxuEX6aXPPPz2uFvffuJ+Pi6e1/MyqcuGbpDsUr/7VAlwfuh7bgesVg1VOe0gY7/r3&#10;24WnJXxRm++wISLlXpPvIKkw83xnPp7MhM8ovjOrC08o63I6rphw46Vfzndg1HhcnciMdsDkosqG&#10;bTV5KM+aYLACJ5iRH09RIt87t2FgiwJMNbVxtOedk+c1mgN7EHCaDI52vAWETKCI6xRMBtKeaa6D&#10;xthIEdcpxhklRWQnj6XV3TCzSFsVk51ssyKV56Ainc8yHdRKL+x3B+dxejHlJAOklZ5rkda5GpOY&#10;AQNtMnjhH4A2ZWlq4QhiETFEcs2BDb+KZWHKEMsi8/F6liVtC03zjMN/CvOoMOzBnebd/KQRKdii&#10;Tq5DppXQnNljRy+8L34obMxZcrT+QzxRjHoWrhKxuXc0/mH+U3oKV0FN8/TZf+k/ByKGdMhAxH7J&#10;QqtfvHAMyyU1KUJqEzGOc65NxHJ5OZ94KvGfJ2JYJp5XV8w8pWmlNhMrymmSndLcgL1nCqOpGDlP&#10;C0bzAvbmKYxmBVOiPRaOZgUVsYIUR5OCYpID0qyg4PxViqRZQcX5K6tJERUrM42KmFiN5JTdPUow&#10;BKopmb60WREVayrK0Jnt0jqfMEM0sGKtU9rQxNJ6n+X6qDU/r4nYmViR6sfMp42GaeXD+eQ0Rjnj&#10;oLGimthjgiKtk1SJt2S3jQzBSQ6JRnOElXrEUxdzaPoNFFXmFcC9qWeWTRZNv4NinOupfgkFFhJy&#10;bdNvYZp5CaV+CfM6N5fImQetIX1pKq3Sr2A6z/Wy0m8g9zor/QLyM6DS+i8zL5OqMULj8zOz0trn&#10;FHw6ZomYBai8wUB0fRLLmB7KVAWovBVDG05imQ7WseIz46HWes8habVrSz/ESXb+/NOLk7JhFdlh&#10;cPU7WFpJf3Zn6cnQsrgPYnrEMZNZ3IcCPeKYrCzuY58ecUxIFo9CwmxXXexyB4t2TlfJohE6jNZZ&#10;4q6rsEtnibuuwvacJe66CvtyjjjZF2o7bMhZ4q6rddTVy2NragZia2YTrw+upS/tjH0cTMJWor9T&#10;rx3/pf90ATgLwSo7pfhv/acLXkUZ8AOdYkQm8Eh4nk4xt3QBZ9cpNpH3C//aKTaTh4KkdYoVY3g0&#10;NI74V7cgeVESBLXqFnQjyhPDbIIAdMkhInEtY8+r1386NY/do8F1OgWn0hfQmE4xLPvIEOh+rOtw&#10;3/twZrHv7cLbQ3u9Q0U00jPuZJj3DGF7LgyrV1csz/zkV68wUdpJE578106aVKiHmsnkrWcNYhpX&#10;H+OTJtOiJmNBpV4IALHW5T3nRatXNQVYqDKD7dFLU5pMEwWeTdggaxHY/UDdMyhQXRDJoOjYheOg&#10;tC06cmko0DMao8OWklacUhgdtRQVhcYGDhQcWlxQ5VCKo0OWkpfADJwoW2K3J86VjAu7QXGqxGxQ&#10;lCiZcKLEapHWdKZFsaYpDraAtK4zOoqWrGbjjLJpjeKkbcobpNrGIsFJBq2x2xSnR2ykKDkym2T0&#10;HaVGKABOmxTlRWbQgKmmUus70yKt76yWUNJ50gAlFY0W6bHd8Kql8eJQX3oCotjXANLazg6lKBFC&#10;eZAUKEqD1LnBHWVBOD1pIGkjkp1vcQ7EtmlRCqSoKDVjaCnKgGAymb2L9Z0B0urOGUitb2Uhh0zD&#10;kGkQ7jpkGpJyzT9ApuHiXADsIKUCyD5ZmQD6GjzQB/m5asaWmI8o/acL8wWr6Q4ryQsx8+wLfFkM&#10;droz+hQw+IVOKQlR4YY6pQQLXq9TyhWpwst2i8Foo5vOL+TDdi/W3QFYdwLDs7tCe4fV1zLG6uum&#10;GI0+lYli+9TvyoD73iUt7PDI6MkkSMKvZ5hlRuwQsQ8Ru7GfPFPmgJHWjth5Bl49Ym8qbLqSeVlW&#10;RYGfOYz2EXtZ17XfXzPH/por1pum4Xg7Ym+wqtkK6nXEXvDiVwqj2XZNoY2BoyObksscUhwYhVNo&#10;h4jcBNKRDVPtIgXSVLvEMroJpKm2rMymQJpql1wDa3QtitunvPicIkWRe8U7YiyoWN0ZfUfBO3bg&#10;2v0j76XUmcPSSp/gzZi6okq4E1adeX9RBD/hSg6rj1rxtB0La+KGvrTqm4IqJgysOIZHpG9iRVE8&#10;UDJYke6lwCFtVxTIT+ZUWWu1K9J9kRkTUXnDhINLC0vrHmPQ7qIe8nWTU5dWvZRrGz3Umq9Q0WL2&#10;MIrnay6SSKGiiL7MKSuK6EsuBTGgtJHJzukopJfaJQNKD3ls9sx0UKs9M3miqgYKxd3rG0LxIRQf&#10;QnFUFlg7J/8VofjFsTV5KAquaYJbwXW8aJiLrV3RS90d25G7ouAo7Mv3sbf/dDE4WgQx2MLOSNEt&#10;2oK9dIoR5wQamEmnGK0wkRxYR7ecW90Fo+iWoxIs4IEtdMthcyXJgQn0yIlWTobYK81/uqVxt9gO&#10;D96Nhw2q3D6M2q54HNoVtXQ3z+08gFftRKvhzdFZeMxOMUrOk1jPCHDhBjxdJ1o8hL26hih6iKLP&#10;j6IxWdpRNA/ha0fROCalduveU9TVuL0Ap12bk7KaYXLwuvd4fsUgWirV9JJ2EkN3htBYQ34ZpSCa&#10;3PJSXLrxU0cUJQU6KYrmtRkUTWqZH6coOpLA6jpIbdIjHUYQNU5BdAzBxNhnWj/nTYMXsxDomUnI&#10;JRyEMMiR+hfiDb3/FP9IK9H9Us6zhHpMj+E/BWtwLP4wvOE4gN7jPjPpWdittmNhwnhtx4IiqWrq&#10;xn4xqSopmDo5FvgVyr6xY0Hl4jWzs0TOuhyLEHgtoRNWvO8iKcnSfgXb/B9HKYj2KzaIdit8wFAK&#10;ErkVyXa1u6PdCmdSUxTtVmwQ7VZ4z00KEmVjJW/TbkqUiyXvJChD1sYO2F3Uege1SQjEWwYudmYU&#10;WSGihu5fH1BjPMBLhQJ/73f8p/gfEULA1xXAuTgvjAQP4T8FCk3G83rKpAd/N/i7s4+3zvg7WMu2&#10;v+M0z7X93QTLkZTFxqieNLM5Dk8UY+mXI5tyEpYjcVZkM75OBXE15whmzhkJ7dLa0dRU8kxaRHu9&#10;LI52fGThDRzt+KoJVbcCre0qtO/DLlUTSDu/qiAfagBp94c9pSaQ9n8ln0FoAGkXWPDOa6NvkRMs&#10;4SnNNkV+EO/WbhWR/LD2RysvNpbWeMnrdVa7tNJxumQGS2u95HVEC0vrvahoTdJQV7QmWWHfuKn5&#10;qKp4nmuWVn09Lm2oaEkSUbjZqmhFsuaCcKOHUV0xV4MaHYwXJDlgt6C04rnY3YLSem94YcyCivSe&#10;mcelHu/NlBYRLSg94jMDK9poPa1psdtAipYjM3M5Wo0ERgZJD3dObqRWgWLoMCWmTEStNmmdZ4Zn&#10;VF885eIJC0mrPKOnaC0yq3HaDRJaznUYxjiIdlg3XIlvNIoy6AGKl8sNqGiHNeIpW+fRDuuGqL8F&#10;pZUuVQ9Wq7TSc16GKsZU0zOGr9Zax668TLP0SK+qzKjCbsLTE4smM2tALE9SJUpJzLFOp6CE1iMR&#10;ardrol1piRIEG0uP9hIHU5iqpzWk8MQCB2bYWFr15YwKO4zXiMPgFRZOerOxtO4ruBMbS+s+5ydo&#10;32dofMU1IlaztOo5VDYGF53gdILKja5Ga16NrSG+/CXxZXaPuUs63iEPo8LRvDhGJdjt3UUnzebR&#10;MbgY3adTe7bTS2w4FOj/EQv0s4PArSVfdhRAHt0NYDitc8Y7eS0akVhDPkvcDeCQ0+gewOR7CB3e&#10;5Rx0t2p/Fw4M7kF3XQ0XhvSIu65OzuuqOwDgLmwS70Z3x/XdwZyrrl6c9iLfQ3kvci9W4ou/h4p9&#10;uipXS9KW84kq/ykJKwS2/MJCotp/7T+dGG2ZxENxEID01X/tP0UMQSmLIe7sliMiAzjElN1y7hAF&#10;xIudcogUGQ+xYLccUXw8F3FepxzOViQxxHCdYlgjY7GejSlu/wFdXtWpPHkTiKs6xdymEzD4TjEw&#10;H3pfmO1dz5RHOiaDoetfp/+U1ypzGnFMJ5aoFjFKp5S0q6/1rsQJsUUnmC/SkfXlbPsbUEp6nT01&#10;STTx+K13D0owfZYDl+9sHFg8y4Gnd8qBoYtcYCBe+/7TTS6KEdA+8OtuvBk4O8nJScRZrYA1s1zP&#10;nAEjZrGeJHrO3Az1QUN90Pn1QRiR7bQ2D/ZfMa3dzLGO217Gxf2L/izRajydhxl80bEYnCxim6HT&#10;1e1gENcc0vTWIjoG59xVAhLF3xQyGyiYxiE25VxFghJF3nxiYdoWeIyAUnDSKoHRQTdvZDEagxcd&#10;YPh4QTGmutc64Jad9QZOlMiW4qmkPXEae0aZDgtJaxlpGiQUUqRIz4jvbSStacmhpUiRrhvaVmO1&#10;KdI2571SJK3uAllgG0krPAOkFT7LtCjKXtuvP85d53C0tu2JESWuKU3iFASH9jkXiWXjQHsZPi8u&#10;LOHzTZNgHCHAu+B2IDrVA4EaDUsrUBPW7LlkLkwTBt5D1YRw9pxtT2YOtK+nQN/V3cOgdpJIVwVY&#10;zLq5K6mAqKb4iSzVdHS+CKGyZ7b+Uxiuq7GAEetsm7D5mQ+7PYb/dFjcsHD4ov/Sf+rAxr8i/91A&#10;WQfKej5lhddsU1aOk69NWZvxdHoqaZ834KdME30lRj0vQ+XhGLGdDxIvp6w80TQza1NWxNcdjFVW&#10;3hMQTaWwpIcy8gQl4lFcGJ+gaBqVQdEciplGAqIZFBENacmnxzMu93h487TJbXKBw3MpuKBjb3X9&#10;p0t2YHjAsfRIxS7WIwz2e7DfZ9tvKgxp2W/8Cubs2vZbVdI1s+ks3Lzs7TeO+vD2u2noCl20ARP2&#10;YvPNmfgu643iig7rTYFwAqFtt1xOm2Bo203ZhgRDW+6aaqXSdmjLbbZDG24u3UoxdNxL1j9ph456&#10;+XKLFCNKMpggUYqBXIiAfHouJBtOQs+w13d+iaB76cwOVS92TxgO8E5Q/cXhGI8StMe7FP8pzknC&#10;sfCK/Zf+U4QkMupZaBIHhkyHTHaP4D+HKGU/3NL1p+fLb+ki0tX2ckyDr+7lZjhSGiYVtgA/TCYo&#10;xmHn4r2cPnB6NnV592u4OckZdPm5QhaRtYhOQpKDSUEiT8eJ9RRFuzpO96YwkbPjzHoKo70dZ7JT&#10;GO3vUP+NlGgKox1e5oRY7fKAYONETg+Fp5Z2IreXR9JqLuyzfYn6hAUBvsbd6Fp8YhVln1MVUQ4p&#10;ADGvsIC0rsmhGzha15x9FlUPLv0PW6R3Mb/AKOGEL0bCxQyD13GyDMMlTHsqLlySFkU3XfSBWk05&#10;2jB+Pbvwn8IyULdxjhhNVKCFgi0P4j8FzOWieyjSEL5/yhvhcD38+9v3+92PO+Jw0Y+4oN1dHwor&#10;K7zku/32w06iMxKGxHf0pz+AAMJj04/fb5f/cxhttl894lrl1ZeH3Wp5xLDmsd/+k/A8+XsfRG8f&#10;HkYfaYmkcZOinuHyXn9zp+coRTVuSpRX8S5u3Ck6mTVM0BH7PP49QWjq+RyVPsxylo/ffDyOlvSI&#10;aT2lQmTeCN5Mp/NWPvakHGohsbCXw2708Xm9wU+7w9ubx+Nxd/vmzWH5uHpeHK7BAUEMWhTwVymt&#10;gJ2ZOu1OCuwYlIOKTzvki/ks3DlCbPB6mY7CV3G8v3c9vWtnqmufNT+JaHIiB1emMJqcFBNKVhtA&#10;mgbizk0cw5gCaXJSjYkIGkCanADDRtL0pOYL3A0kzQWzSJoNAsNuU8QGccWs2buIDuLs2gzUORqP&#10;+GDBh0wa/YsIIWWZDJVHhJDv+rCAtM6JEFpAWuVKTQMj/HwZIQ0TzjnBrryeEroz7mBZOokcLpIj&#10;6gW70SnGbYIcrMJ5cmITs1wU16HxYzG7O2kmbC3RzJ6j6zCJiD52U9ZfnxjSy1qsd4+L0U+LNR2R&#10;h/9c99jlrr5awy9DJ4ft+un+26f1mv5ivRm9UOU9/Rx9Ef5G4I4fJQf5y5+w2x+OXy8Oj4LDz6Bm&#10;LW5Bjzb3/NPjanH/jfv5uHhay8/8+tBiohIHpk3007vt/c9gWsO5Qq88VwhDv8WZfpW1/Qq7IXGW&#10;I8+M2Rz3N/JTFGeSVBmzybpqsJTkxqontssPh+N3q+0zD+ufUNPEIyWUyZ3YDmZWyI6wn0sTSG3O&#10;5OrXc3kz2npppFg0ZUKB5+PIgNGMCVsqTRzNmOaUgDNwtPPmHfVGe7TzLqaZBkV8iTeVGkiaL6Ex&#10;dpMivlSA6ZmdiwhTHksTJpSK2lBa4cWUkoOGpiLCVOUGgNY5DnTNQGmt55C01vnAfqtNWus5IK10&#10;1aCBe/1huVd2JREWiQzhXSh35LVEvOnLqjVpJhNVoxFIZvJUkGmtsp2+jRNb0jYUUXZRIXdgzrw7&#10;x+d2j8EYdYJxu6EPN3PYz99tqQdxy2BkWG99crT7nHgaTrHr7INwMHdjaPapItVzEvVA5wY6d7z7&#10;+M/FHqlAZqjCS90/kPn6jVJg5JVbfA6/wjQgroyUo883HiTZSPMj+saT69G7l79u71dvbxYfjlu2&#10;Jp6IJRnGybgYV9gxCKwTn8Nt1Qi6JDk4L8et3CAs3WvpnBgmTdXabA6HdElbTpxQ0wuct/EySlE0&#10;uZiWIAQGjGZzvKUnhYmIBd8lY+BoXsEcLMXRtAI3JNntadOKFEaTClSpmr2KiByxkxQmYnFETlyn&#10;BnLyS8jJxQ4eL4ZX5zDAX+/f6SIjeEdZEsh6PXoU+VCZS1kxx2TcHV5ZMQFDiUaXPxahNlW4Zqkr&#10;Ke2XJyyGlAgNhs2H56+2yCPB2n7qd9fTqlbbh3KRT+QpkR+71Idi2lQ+KVKOy7q9kISVuRmlX+UQ&#10;fxw8eMWsiGyx7/KjTe3WBDN+lMP0FEY7Uj6rzsCJHKlcf8Yrdbo5sSelhSQDSHtS3tHqjg7QQNqV&#10;lrxkYwBpV4rlLyQg0p5FzpQv5zaAIm+KA7lMpMifIhdmd47GYUhlgWNlsCKFy5Vz6ZuL0iIYdhks&#10;rXQ5q87qotZ6wYVThraiYycnM76PzWiXVjwtPNr60qpv5Jq4FIvM1ElfOKPNxIJHO0mhd7buo4Mn&#10;C1RZ2Vha980408foTnsEuxmsSPdyiaTRR617XCdnN0sP+Xqaa5ZWvSQV0zEfnT1ZzYlCGiMiOnvS&#10;XYWXTGiq0Ayvp+LDQy0oPehxUaHZwej0yZLpsQWlzQxX5RnDNDp+spCbMlO10y7Q0HbO4KWqio6f&#10;JJLsmgRWFNLUi0efuT6levCTdUmY0CGs7wtn4hRRNqMEpYGt3fmkebcw1ELCfu2sWxgdJ2FfLt4t&#10;jBFFwn71rluYLCVJh1W3HnHXR6ybn6MRMniMfl43HSu+C8c69TTG9TTO4OVfj+tqYNPd6GR8qO2h&#10;ar5H3HU1rIb2iLtXKiE7RmePuOuqXIzbK06mgNoeyH43+h/0KjzoBIlWmuAXBGKwh9BUz/lVbiwU&#10;Qf0+J+o/JbfrtqmD33TGWHT0KJ5Z9VwhjwOTWExW6bJhHTiJdKHngCXwDZYDo+hsHbiEyIV0ke+k&#10;/3S1l64bYALdeDDS1I+TIfY4/tPhoYqT5cZ+S7H/3n86ORfuTnpOAHOcHp63s3kuPQ6v2inmrsKD&#10;x+wUI0+NvsIbdoq56lZ4uk4xmcVDMD7UJ/yrE9owHe1gnK3ItYNxlGkiUS12AIdFIzKnCXLKaOM3&#10;MEsSi+OAvEBDfF781RltMYo6YtVEmYjklA2EloC9CnT0jAv1psTbUxRY24BS8iHarFn9IB2UZFA0&#10;NZbzshIUHY/I+eBJj6Da0BYi2KlWdAx40spnzq6Fj11yxA/mF6gMBsfrmQyFY3A9MsCybMFdqNcj&#10;RakRYijdK8uDexrWW38f662woW33xGUH13ZPxRjH5gp7x5bTGts3Yvekr+VD2vh67knObNU+oe2e&#10;5I5mLaHdk6S7pLGnTDIsRjD3ci0fx+kaRHsnG0Q7J2xswC12CUjknCRd1m6Kdk7IqFko2jmRn0x1&#10;op2TXMuXNCXKDEsOqd2UKC9MPk469Jn7uGxaxc4gXewSaT8FXCJ0/3qXKIFnz4nCItRzghu1Bg4x&#10;jAQfkvpPCU0lcO7ZTTl4zcFr/j68JsZ022uyvby210QZUuEOC6/1Nka/ERLX16JQyUV1tAAbcqgX&#10;hXV0NRq23EvGRvu0tuuconEcZZ48o/adWRztPjm2S3G0+6waPpMgbQ+6fnLDtAxpNEi7UBxnYXdM&#10;O1FsnjOBtBct5+QBDQ1pR4rqExspcqUlrxoaUJE3pRunzFZFq6y0Pmw2i9JmQVNlWWawtNIx9DJY&#10;Wut0y6HdLq33Qo7LSF9gtMpayd1w6VigvGVoPdW7233Uuq95pdwYDtEqa66L0SKrrEBaUNFYz4ys&#10;6JDkSa6H0RprSTstjAFBtRRBDY3cHJkqC6W+Jyk5zCPVO92QcILiFXyrg1rvuUZprU/5nGwDKVph&#10;zSBFC6zAsMcVrbiElmdGAgX0QWbKp05abYpGu63yaHk13zut8lzvYo3TorbVJq1xOaomfXnx7X5y&#10;AVs6DtLb/YwhRRsbg6YmfDa50SpaXwhSuHbRHJ1YTDoJ4cpZu4O0RBKguADAapUe6DXvwrZapbWO&#10;IwEyzdJ6r7hewsLSei9wnafdRT3WSz6B3cCiwuHQxZJ3Fhl9jG/34w1YFpbWfIljd8x2xbf7wVma&#10;Y4uuCTm1a5bpI61NBaki2y6t+4qTr1Yfte65jsPqolZ91WSYB658OjVL7vFNh3x0ux/aY2srvd1P&#10;kIYw1a7ksMPUfFSLIYuA7/M9tj6rGZdBvgskvbu2gBw5KfKzLXTIKpLuwCXNhLMbuxU53O5HNTJW&#10;kdZwu9+RKtooT7ZbHB/p7AByY7yiBKdg5c/4eww+X1uQ24fo5bqLIxDZ8lAOI9mnxfynpMfoGEYa&#10;8TjpQYrH/Nf+U8QQlbJY37YHhJwiJ8ci5Ze83GoWAsbO5yJUZDy6XbCrfQgDWQ6BXrccjnqg7iKI&#10;65Rzj+0rVPHrDj1PpZgID0Vg1flQV4HS9BQXCRhChk4wJxUIiH+f/lPeq2gDgUwnlryD857Y9JQo&#10;UQDMuuh+Uf56P2i4673jWj9+neEkKd89/yndRI6YxfqOT3E1eiDznU8FjWc8EPVOOVB0kUNqoKsX&#10;oN8sV4RtDL75/tPNQncJBMhzJx5oM+P1lFmBErNYzwWg3t60nzlsQMI7XdwOZ7L8hpt4Md3b6XG2&#10;I79ienwyH9fj9qksE5zKAqpI+49w2BldGCjz+6LkOOUZZGGsKzNeyNkCWkSH8pRDSUF0BqWgBIqB&#10;ooN4CuFTlCiApzyTgaLDd+w/sGBgPEMewF0SyC9Rd0mH7pytSluj4/ai4iORU9VECXEpCHP1AaeF&#10;hTgdzhtyjI5F6XA+siZtUpQMB4atomjLETLmlo5ocTMoqUDuwlQ2FeefpChPbLRJq7vgNLHVO63w&#10;DJBWuLskMHlvURKc0vxpg+IUOC3mG+2JthnZEyPKfyuYIdtih2RDtiUXrNrbSi4ul8DQp3iPRrcV&#10;7wn39p4jF+0JwZW6mmw4JXQUi1ldLJMMGPxV3yWBws9hUDvBXLx1umvMM1X/KYyVVIBnugmebb/f&#10;ywFC2tkDF1z2hFsi1cPNpZsIM7oeGL8i37WB+EJnA/Hlc5t/q9NrMI/axJd5zNWJL7YOkQ+nEL0s&#10;USXSqqaMrhqspyHuvpz4ciitKSBmaOA25N4R6/O4OxE3zXvPuWqQ+FiKonlvycX+SVM0GcMqpYWi&#10;mRjzlQQEr9Doz6fHVi73m3jztInwErdJS/40hnnM5P2O5El6pAYvMFQH/j6qAxGktb0Ac76re4FT&#10;dSBuQKgpA8im11cH6gsLcY2Cz5Ze7ATS0LxlMyUxq72E9gGUtUggotTHFLY7xdAewMTQ9p8LPVIM&#10;bf8pB5O0Q5v/mvxZiqFjcPIhCYaOwOXg/2RHWZTwMEGidMepIZ+eI8qu8kLP8A0XncZwsZPDcICP&#10;wxh4fWgICIqteJRkXZwIyVjLCkmQeVYwFEoMfDTkPyXgG3zl4Ct/H74StrLtK3mN++q+EmWEbn2x&#10;KSpyl7GvnOJ8AvgPPqrsqgd+ShZE+8J2xORW67VI212mIJG/5Ay2HM6iUbTD5AR2CqNdJt8sYzRG&#10;+0yp405CPO01cbMOcsVpa7TbRH4bhYwJjHacQLBxItcp9ycmQJHzzCNpNRd8gWKKpBXNFwsZXYuW&#10;CqQEPwXSqubjsSwgrWuiBamOoop5zqeLqgdi8IfNp1/MUjBKOIWNkXAxT+GBm6UgLgUcVlI9rfCf&#10;Lp+MSQPOg+twutK21GpiRmH8ehD/KWCueqdPzB2YhcqmrmeSYcAzew7AGejRQI/66NHpfkA+gzzc&#10;nsi/f3lPx87AF+8Xu8en5deL40L/m//idlVuH7fr+9X+i/8XAAAA//8DAFBLAwQUAAYACAAAACEA&#10;T/eVMt0AAAAGAQAADwAAAGRycy9kb3ducmV2LnhtbEyPzU7DMBCE70i8g7VI3KhTWkoV4lSoFSDR&#10;AyLlAdx48yPsdWS7aXh7Fi5wGWk1o5lvi83krBgxxN6TgvksA4FUe9NTq+Dj8HSzBhGTJqOtJ1Tw&#10;hRE25eVFoXPjz/SOY5VawSUUc62gS2nIpYx1h07HmR+Q2Gt8cDrxGVppgj5zubPyNstW0umeeKHT&#10;A247rD+rk1Pwsgu71zimt2ztn7f7yjbNoRqVur6aHh9AJJzSXxh+8BkdSmY6+hOZKKwCfiT9KnuL&#10;5d0KxJFDy8X9HGRZyP/45TcAAAD//wMAUEsBAi0AFAAGAAgAAAAhALaDOJL+AAAA4QEAABMAAAAA&#10;AAAAAAAAAAAAAAAAAFtDb250ZW50X1R5cGVzXS54bWxQSwECLQAUAAYACAAAACEAOP0h/9YAAACU&#10;AQAACwAAAAAAAAAAAAAAAAAvAQAAX3JlbHMvLnJlbHNQSwECLQAUAAYACAAAACEALTk9UlYkAACA&#10;BAEADgAAAAAAAAAAAAAAAAAuAgAAZHJzL2Uyb0RvYy54bWxQSwECLQAUAAYACAAAACEAT/eVMt0A&#10;AAAGAQAADwAAAAAAAAAAAAAAAACwJgAAZHJzL2Rvd25yZXYueG1sUEsFBgAAAAAEAAQA8wAAALon&#10;AAAAAA==&#10;">
                    <v:rect id="Rectangle 3" o:spid="_x0000_s1027" style="position:absolute;width:1945;height:912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bvmMUA&#10;AADaAAAADwAAAGRycy9kb3ducmV2LnhtbESPQWvCQBSE7wX/w/KE3upGC1Kjq4ggtBQp1SDt7Zl9&#10;zaZm34bs1qT+elcQPA4z8w0zW3S2EidqfOlYwXCQgCDOnS65UJDt1k8vIHxA1lg5JgX/5GEx7z3M&#10;MNWu5U86bUMhIoR9igpMCHUqpc8NWfQDVxNH78c1FkOUTSF1g22E20qOkmQsLZYcFwzWtDKUH7d/&#10;VoH7PU+y93ZzPOzMJN9/j4qvt49Wqcd+t5yCCNSFe/jWftUKnuF6Jd4AOb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u+YxQAAANoAAAAPAAAAAAAAAAAAAAAAAJgCAABkcnMv&#10;ZG93bnJldi54bWxQSwUGAAAAAAQABAD1AAAAigM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STOMQA&#10;AADaAAAADwAAAGRycy9kb3ducmV2LnhtbESP3WrCQBSE74W+w3IE7+omKqVEV/EHwQvtj/oAx+wx&#10;ic2eDdnVRJ++Wyh4OczMN8xk1ppS3Kh2hWUFcT8CQZxaXXCm4HhYv76DcB5ZY2mZFNzJwWz60plg&#10;om3D33Tb+0wECLsEFeTeV4mULs3JoOvbijh4Z1sb9EHWmdQ1NgFuSjmIojdpsOCwkGNFy5zSn/3V&#10;KDDxNl4s2sfHZ3P5Gp6qq2+i1U6pXredj0F4av0z/N/eaAUj+LsSboC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0kzjEAAAA2gAAAA8AAAAAAAAAAAAAAAAAmAIAAGRycy9k&#10;b3ducmV2LnhtbFBLBQYAAAAABAAEAPUAAACJAwAAAAA=&#10;" adj="18883" fillcolor="#5b9bd5 [3204]" stroked="f" strokeweight="1pt">
                      <v:textbox inset=",0,14.4pt,0">
                        <w:txbxContent>
                          <w:p w:rsidR="009C5454" w:rsidRDefault="009C5454">
                            <w:pPr>
                              <w:pStyle w:val="a3"/>
                              <w:jc w:val="right"/>
                              <w:rPr>
                                <w:color w:val="FFFFFF" w:themeColor="background1"/>
                                <w:sz w:val="28"/>
                                <w:szCs w:val="28"/>
                              </w:rPr>
                            </w:pPr>
                            <w:r>
                              <w:rPr>
                                <w:color w:val="FFFFFF" w:themeColor="background1"/>
                                <w:sz w:val="28"/>
                                <w:szCs w:val="28"/>
                              </w:rPr>
                              <w:t>Due 29 May 2015</w:t>
                            </w:r>
                          </w:p>
                        </w:txbxContent>
                      </v:textbox>
                    </v:shape>
                    <v:group id="Group 5" o:spid="_x0000_s1029" style="position:absolute;left:762;top:42100;width:20574;height:49103" coordorigin="806,42118" coordsize="13062,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group id="Group 6" o:spid="_x0000_s1030" style="position:absolute;left:1410;top:42118;width:10478;height:31210" coordorigin="1410,42118" coordsize="10477,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o:lock v:ext="edit" aspectratio="t"/>
                        <v:shape id="Freeform 20" o:spid="_x0000_s1031" style="position:absolute;left:3696;top:62168;width:1937;height:6985;visibility:visible;mso-wrap-style:square;v-text-anchor:top" coordsize="122,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DN5rwA&#10;AADbAAAADwAAAGRycy9kb3ducmV2LnhtbERPuwrCMBTdBf8hXMFFNNVBpBpFRKmOvvZLc22rzU1p&#10;Yq1+vRkEx8N5L1atKUVDtSssKxiPIhDEqdUFZwou591wBsJ5ZI2lZVLwJgerZbezwFjbFx+pOflM&#10;hBB2MSrIva9iKV2ak0E3shVx4G62NugDrDOpa3yFcFPKSRRNpcGCQ0OOFW1ySh+np1GgP+fENibJ&#10;NoPrYXtbJ7N9cndK9Xvteg7CU+v/4p97rxVMwvrwJfwAufw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UIM3mvAAAANsAAAAPAAAAAAAAAAAAAAAAAJgCAABkcnMvZG93bnJldi54&#10;bWxQSwUGAAAAAAQABAD1AAAAgQM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Pe58IA&#10;AADbAAAADwAAAGRycy9kb3ducmV2LnhtbESPQYvCMBSE74L/ITxhb5oqKEs1SldQvOxB1x/wbJ5N&#10;1+alJNF2//1GEDwOM/MNs9r0thEP8qF2rGA6yUAQl07XXCk4/+zGnyBCRNbYOCYFfxRgsx4OVphr&#10;1/GRHqdYiQThkKMCE2ObSxlKQxbDxLXEybs6bzEm6SupPXYJbhs5y7KFtFhzWjDY0tZQeTvdrYK7&#10;Xmz383l/+710rvDX76/i4IxSH6O+WIKI1Md3+NU+aAWzKTy/pB8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Q97nwgAAANsAAAAPAAAAAAAAAAAAAAAAAJgCAABkcnMvZG93&#10;bnJldi54bWxQSwUGAAAAAAQABAD1AAAAhwM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opJMMA&#10;AADbAAAADwAAAGRycy9kb3ducmV2LnhtbESP3YrCMBSE7xd8h3AE79Z0q4hUoywLCyrC4g+Cd4fm&#10;2Fabk5JErW9vFgQvh5n5hpnOW1OLGzlfWVbw1U9AEOdWV1wo2O9+P8cgfEDWWFsmBQ/yMJ91PqaY&#10;aXvnDd22oRARwj5DBWUITSalz0sy6Pu2IY7eyTqDIUpXSO3wHuGmlmmSjKTBiuNCiQ39lJRftlej&#10;4G/4OOPyajbpYJcsHa6bxepwVKrXbb8nIAK14R1+tRdaQZrC/5f4A+Ts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opJMMAAADbAAAADwAAAAAAAAAAAAAAAACYAgAAZHJzL2Rv&#10;d25yZXYueG1sUEsFBgAAAAAEAAQA9QAAAIgD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qttMAA&#10;AADbAAAADwAAAGRycy9kb3ducmV2LnhtbERPy2rCQBTdF/yH4Qrd1UkilBIdRQQxCze1FbeXzDUJ&#10;Zu7EzJjX13cKhS4P573eDqYWHbWusqwgXkQgiHOrKy4UfH8d3j5AOI+ssbZMCkZysN3MXtaYatvz&#10;J3VnX4gQwi5FBaX3TSqly0sy6Ba2IQ7czbYGfYBtIXWLfQg3tUyi6F0arDg0lNjQvqT8fn4aBddi&#10;iprk4eP4eBnDsKnS2WlU6nU+7FYgPA3+X/znzrSCZAm/X8IPkJs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BqttMAAAADbAAAADwAAAAAAAAAAAAAAAACYAgAAZHJzL2Rvd25y&#10;ZXYueG1sUEsFBgAAAAAEAAQA9QAAAIUD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yOcQA&#10;AADbAAAADwAAAGRycy9kb3ducmV2LnhtbESPS2vDMBCE74H8B7GB3hK5pk1Sx3IohZbSnPIg0NvG&#10;Wj+otTKSmrj/vgoEchxm5hsmXw+mE2dyvrWs4HGWgCAurW65VnDYv0+XIHxA1thZJgV/5GFdjEc5&#10;ZtpeeEvnXahFhLDPUEETQp9J6cuGDPqZ7YmjV1lnMETpaqkdXiLcdDJNkrk02HJcaLCnt4bKn92v&#10;UWAluYqOi/Yl/TLzTfj+qJ5PRqmHyfC6AhFoCPfwrf2pFaRPcP0Sf4As/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218jnEAAAA2wAAAA8AAAAAAAAAAAAAAAAAmAIAAGRycy9k&#10;b3ducmV2LnhtbFBLBQYAAAAABAAEAPUAAACJAw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A0cMEA&#10;AADbAAAADwAAAGRycy9kb3ducmV2LnhtbESPQWsCMRSE7wX/Q3iCt5pVailbo1RBqEet7fm5ed2E&#10;3bwsSdT13xtB8DjMzDfMfNm7VpwpROtZwWRcgCCuvLZcKzj8bF4/QMSErLH1TAquFGG5GLzMsdT+&#10;wjs671MtMoRjiQpMSl0pZawMOYxj3xFn798HhynLUEsd8JLhrpXToniXDi3nBYMdrQ1Vzf7kFAST&#10;Vs1hFlZvzfpvuzlae/z1VqnRsP/6BJGoT8/wo/2tFUxncP+Sf4Bc3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3QNHDBAAAA2wAAAA8AAAAAAAAAAAAAAAAAmAIAAGRycy9kb3du&#10;cmV2LnhtbFBLBQYAAAAABAAEAPUAAACGAwAAAAA=&#10;" path="m,l33,69r-9,l12,35,,xe" fillcolor="#44546a [3215]" strokecolor="#44546a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BTjcEA&#10;AADbAAAADwAAAGRycy9kb3ducmV2LnhtbESPQYvCMBSE7wv+h/AEL4um60GkGkWF3XoTqz/g0Tzb&#10;YvJSkmyt/94sLHgcZuYbZr0drBE9+dA6VvA1y0AQV063XCu4Xr6nSxAhIms0jknBkwJsN6OPNeba&#10;PfhMfRlrkSAcclTQxNjlUoaqIYth5jri5N2ctxiT9LXUHh8Jbo2cZ9lCWmw5LTTY0aGh6l7+WgWm&#10;/HQ/l47qU38snHnuixv5QqnJeNitQEQa4jv83z5qBfMF/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VQU43BAAAA2wAAAA8AAAAAAAAAAAAAAAAAmAIAAGRycy9kb3du&#10;cmV2LnhtbFBLBQYAAAAABAAEAPUAAACGAwAAAAA=&#10;" path="m,l9,37r,3l15,93,5,49,,xe" fillcolor="#44546a [3215]" strokecolor="#44546a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0SccMA&#10;AADbAAAADwAAAGRycy9kb3ducmV2LnhtbESPQUsDMRSE70L/Q3gFbzbbglXWpsUqgifFKoi3x+Y1&#10;Wd28hCRutv/eCILHYWa+YTa7yQ1ipJh6zwqWiwYEced1z0bB2+vDxTWIlJE1Dp5JwYkS7Lazsw22&#10;2hd+ofGQjagQTi0qsDmHVsrUWXKYFj4QV+/oo8NcZTRSRywV7ga5apq1dNhzXbAY6M5S93X4dgre&#10;16aEy2I/PkPZn8zz/fEp2lGp8/l0ewMi05T/w3/tR61gdQW/X+oPkN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0SccMAAADbAAAADwAAAAAAAAAAAAAAAACYAgAAZHJzL2Rv&#10;d25yZXYueG1sUEsFBgAAAAAEAAQA9QAAAIgD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TRe8MA&#10;AADbAAAADwAAAGRycy9kb3ducmV2LnhtbERPz2vCMBS+C/4P4QleZKbLYYzOKKLoxsag6hh4ezbP&#10;tti8lCZqu79+OQx2/Ph+zxadrcWNWl851vA4TUAQ585UXGj4OmwenkH4gGywdkwaevKwmA8HM0yN&#10;u/OObvtQiBjCPkUNZQhNKqXPS7Lop64hjtzZtRZDhG0hTYv3GG5rqZLkSVqsODaU2NCqpPyyv1oN&#10;n+/hyJMsO6mf1+1623+rj6xXWo9H3fIFRKAu/Iv/3G9Gg4pj45f4A+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TRe8MAAADbAAAADwAAAAAAAAAAAAAAAACYAgAAZHJzL2Rv&#10;d25yZXYueG1sUEsFBgAAAAAEAAQA9QAAAIgD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eov8UA&#10;AADbAAAADwAAAGRycy9kb3ducmV2LnhtbESPT2vCQBTE70K/w/IKvenGUIqNrqJC/XMqpj3E2yP7&#10;zAazb2N2q+m3d4VCj8PM/IaZLXrbiCt1vnasYDxKQBCXTtdcKfj++hhOQPiArLFxTAp+ycNi/jSY&#10;YabdjQ90zUMlIoR9hgpMCG0mpS8NWfQj1xJH7+Q6iyHKrpK6w1uE20amSfImLdYcFwy2tDZUnvMf&#10;q+Cy3Oz19vh6/Mwnh2JlLsUm3RdKvTz3yymIQH34D/+1d1pB+g6PL/EH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56i/xQAAANsAAAAPAAAAAAAAAAAAAAAAAJgCAABkcnMv&#10;ZG93bnJldi54bWxQSwUGAAAAAAQABAD1AAAAigMAAAAA&#10;" path="m,l31,65r-8,l,xe" fillcolor="#44546a [3215]" strokecolor="#44546a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6bLsEA&#10;AADbAAAADwAAAGRycy9kb3ducmV2LnhtbERPz2vCMBS+D/wfwhO8zVQF5zqjqCB4ErQ62O3RPNtq&#10;81KTqN3+enMYePz4fk/nranFnZyvLCsY9BMQxLnVFRcKDtn6fQLCB2SNtWVS8Ese5rPO2xRTbR+8&#10;o/s+FCKGsE9RQRlCk0rp85IM+r5tiCN3ss5giNAVUjt8xHBTy2GSjKXBimNDiQ2tSsov+5tRcN78&#10;8c/2Y7m+Np9cLYtzdvx2mVK9brv4AhGoDS/xv3ujFYzi+vgl/gA5e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umy7BAAAA2wAAAA8AAAAAAAAAAAAAAAAAmAIAAGRycy9kb3du&#10;cmV2LnhtbFBLBQYAAAAABAAEAPUAAACGAwAAAAA=&#10;" path="m,l6,17,7,42,6,39,,23,,xe" fillcolor="#44546a [3215]" strokecolor="#44546a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t9Q8UA&#10;AADbAAAADwAAAGRycy9kb3ducmV2LnhtbESPT2vCQBTE70K/w/IKvZmNFoqkrmILogiF+ufS2yP7&#10;TKLZt3F3NdFP3xUEj8PM/IYZTztTiws5X1lWMEhSEMS51RUXCnbbeX8EwgdkjbVlUnAlD9PJS2+M&#10;mbYtr+myCYWIEPYZKihDaDIpfV6SQZ/Yhjh6e+sMhihdIbXDNsJNLYdp+iENVhwXSmzou6T8uDkb&#10;BbbNz1/ur8bT7GAWt/1PO1zdfpV6e+1mnyACdeEZfrSXWsH7AO5f4g+Qk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q31DxQAAANsAAAAPAAAAAAAAAAAAAAAAAJgCAABkcnMv&#10;ZG93bnJldi54bWxQSwUGAAAAAAQABAD1AAAAigM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 7" o:spid="_x0000_s1043" style="position:absolute;left:806;top:48269;width:13063;height:25059" coordorigin="806,46499" coordsize="8747,167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o:lock v:ext="edit" aspectratio="t"/>
                        <v:shape id="Freeform 8" o:spid="_x0000_s1044" style="position:absolute;left:1187;top:51897;width:1984;height:7143;visibility:visible;mso-wrap-style:square;v-text-anchor:top" coordsize="12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4YbsIA&#10;AADaAAAADwAAAGRycy9kb3ducmV2LnhtbERPyW7CMBC9V+IfrEHqrTj0UFUBgxASy4GlbBLHUTwk&#10;gXicxg64/fr6UInj09uH42AqcafGlZYV9HsJCOLM6pJzBcfD7O0ThPPIGivLpOCHHIxHnZchpto+&#10;eEf3vc9FDGGXooLC+zqV0mUFGXQ9WxNH7mIbgz7CJpe6wUcMN5V8T5IPabDk2FBgTdOCstu+NQo2&#10;69/zdvHVzq6rYL7b0ybM19ug1Gs3TAYgPAX/FP+7l1pB3BqvxBsgR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7hhuwgAAANoAAAAPAAAAAAAAAAAAAAAAAJgCAABkcnMvZG93&#10;bnJldi54bWxQSwUGAAAAAAQABAD1AAAAhwM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Y6cIA&#10;AADaAAAADwAAAGRycy9kb3ducmV2LnhtbESP0WrCQBRE3wX/YbkFX0Q3EZQ2uorYSvukNPUDLtlr&#10;NjR7N2Q3Mf59Vyj4OMzMGWazG2wtemp95VhBOk9AEBdOV1wquPwcZ68gfEDWWDsmBXfysNuORxvM&#10;tLvxN/V5KEWEsM9QgQmhyaT0hSGLfu4a4uhdXWsxRNmWUrd4i3Bby0WSrKTFiuOCwYYOhorfvLMK&#10;8hN3zceSL+f383Swn6vUXg+pUpOXYb8GEWgIz/B/+0sreIPHlXgD5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ljpwgAAANoAAAAPAAAAAAAAAAAAAAAAAJgCAABkcnMvZG93&#10;bnJldi54bWxQSwUGAAAAAAQABAD1AAAAhwM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Yy38UA&#10;AADbAAAADwAAAGRycy9kb3ducmV2LnhtbESPT2sCQQzF74V+hyFCb3XWCiJbRxGhtael2h56jDvZ&#10;P7iTGXZGd9tP3xwEbwnv5b1fVpvRdepKfWw9G5hNM1DEpbct1wa+v96el6BiQrbYeSYDvxRhs358&#10;WGFu/cAHuh5TrSSEY44GmpRCrnUsG3IYpz4Qi1b53mGSta+17XGQcNfplyxbaIctS0ODgXYNlefj&#10;xRmo3j/Pbv9T/S1Pl2E/3xZFmIfCmKfJuH0FlWhMd/Pt+sMKvtDLLzKAX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ljLfxQAAANsAAAAPAAAAAAAAAAAAAAAAAJgCAABkcnMv&#10;ZG93bnJldi54bWxQSwUGAAAAAAQABAD1AAAAigMAAAAA&#10;" path="m,l16,72r4,49l18,112,,31,,xe" fillcolor="#44546a [3215]" strokecolor="#44546a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ha5L4A&#10;AADbAAAADwAAAGRycy9kb3ducmV2LnhtbERPTYvCMBC9L/gfwgje1sQiKtUoIrgswh501/vQjE2x&#10;mZQm2vrvzYLgbR7vc1ab3tXiTm2oPGuYjBUI4sKbiksNf7/7zwWIEJEN1p5Jw4MCbNaDjxXmxnd8&#10;pPspliKFcMhRg42xyaUMhSWHYewb4sRdfOswJtiW0rTYpXBXy0ypmXRYcWqw2NDOUnE93ZwGPmTB&#10;cheUmf0spo/511lN9metR8N+uwQRqY9v8cv9bdL8DP5/SQfI9R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l4WuS+AAAA2wAAAA8AAAAAAAAAAAAAAAAAmAIAAGRycy9kb3ducmV2&#10;LnhtbFBLBQYAAAAABAAEAPUAAACDAw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fO1sAA&#10;AADbAAAADwAAAGRycy9kb3ducmV2LnhtbERPy6rCMBDdC/5DGMGdpiqIVKP44IK40esDdDc0Y1ts&#10;JqXJtfXvjXDB3RzOc2aLxhTiSZXLLSsY9CMQxInVOacKzqef3gSE88gaC8uk4EUOFvN2a4axtjX/&#10;0vPoUxFC2MWoIPO+jKV0SUYGXd+WxIG728qgD7BKpa6wDuGmkMMoGkuDOYeGDEtaZ5Q8jn9GQXlY&#10;ber1ze3yy3DS+Ndlu7+lV6W6nWY5BeGp8V/xv3urw/wRfH4JB8j5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IfO1sAAAADbAAAADwAAAAAAAAAAAAAAAACYAgAAZHJzL2Rvd25y&#10;ZXYueG1sUEsFBgAAAAAEAAQA9QAAAIUDAAAAAA==&#10;" path="m,l33,71r-9,l11,36,,xe" fillcolor="#44546a [3215]" strokecolor="#44546a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jTIsIA&#10;AADbAAAADwAAAGRycy9kb3ducmV2LnhtbERPyWrDMBC9F/IPYgK51XLTEopjOYRAIOBDyFJob2Nr&#10;YptaIyOpjvv3VaHQ2zzeOvlmMr0YyfnOsoKnJAVBXFvdcaPgetk/voLwAVljb5kUfJOHTTF7yDHT&#10;9s4nGs+hETGEfYYK2hCGTEpft2TQJ3YgjtzNOoMhQtdI7fAew00vl2m6kgY7jg0tDrRrqf48fxkF&#10;b+XRDXr5sa9Wz9vLu7SlplOl1GI+bdcgAk3hX/znPug4/wV+f4kH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SNMiwgAAANsAAAAPAAAAAAAAAAAAAAAAAJgCAABkcnMvZG93&#10;bnJldi54bWxQSwUGAAAAAAQABAD1AAAAhwMAAAAA&#10;" path="m,l8,37r,4l15,95,4,49,,xe" fillcolor="#44546a [3215]" strokecolor="#44546a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3G2cMA&#10;AADbAAAADwAAAGRycy9kb3ducmV2LnhtbERPS2vCQBC+C/0PyxR6042iUqKbUOwDqSCY9tLbkB2z&#10;abOzIbtq9Nd3BcHbfHzPWea9bcSROl87VjAeJSCIS6drrhR8f70Pn0H4gKyxcUwKzuQhzx4GS0y1&#10;O/GOjkWoRAxhn6ICE0KbSulLQxb9yLXEkdu7zmKIsKuk7vAUw20jJ0kylxZrjg0GW1oZKv+Kg1Uw&#10;XX0eLm/biX4tpqx/PzZmvP0xSj099i8LEIH6cBff3Gsd58/g+ks8QG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3G2cMAAADbAAAADwAAAAAAAAAAAAAAAACYAgAAZHJzL2Rv&#10;d25yZXYueG1sUEsFBgAAAAAEAAQA9QAAAIgD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xrI8QA&#10;AADbAAAADwAAAGRycy9kb3ducmV2LnhtbESPy27CMBBF90j8gzWV2BWnVXkFDIpaKmXTBY8PmMbT&#10;JCIeh9h59O8xEhK7Gd177tzZ7AZTiY4aV1pW8DaNQBBnVpecKzifvl+XIJxH1lhZJgX/5GC3HY82&#10;GGvb84G6o89FCGEXo4LC+zqW0mUFGXRTWxMH7c82Bn1Ym1zqBvsQbir5HkVzabDkcKHAmj4Lyi7H&#10;1oQauPfLj0V+paSbfbWn31X6U66UmrwMyRqEp8E/zQ861YGbw/2XMID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cayPEAAAA2wAAAA8AAAAAAAAAAAAAAAAAmAIAAGRycy9k&#10;b3ducmV2LnhtbFBLBQYAAAAABAAEAPUAAACJAw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7sWMIA&#10;AADbAAAADwAAAGRycy9kb3ducmV2LnhtbERPTWsCMRC9F/wPYQQvUrN6qHU1ikhLe5FSDaW9Dcm4&#10;u7iZLJu4bv+9KQi9zeN9zmrTu1p01IbKs4LpJANBbLytuFCgj6+PzyBCRLZYeyYFvxRgsx48rDC3&#10;/sqf1B1iIVIIhxwVlDE2uZTBlOQwTHxDnLiTbx3GBNtC2havKdzVcpZlT9JhxamhxIZ2JZnz4eIU&#10;0He32H/8VGbO+kXrL7roNzNWajTst0sQkfr4L767322aP4e/X9IBcn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LuxYwgAAANsAAAAPAAAAAAAAAAAAAAAAAJgCAABkcnMvZG93&#10;bnJldi54bWxQSwUGAAAAAAQABAD1AAAAhwMAAAAA&#10;" path="m,l31,66r-7,l,xe" fillcolor="#44546a [3215]" strokecolor="#44546a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ekssIA&#10;AADbAAAADwAAAGRycy9kb3ducmV2LnhtbESPT2sCMRDF74V+hzAFbzWrBylbo4hY6EWw/oEeh2Tc&#10;rG4myybq6qfvHAreZnhv3vvNdN6HRl2pS3VkA6NhAYrYRldzZWC/+3r/AJUyssMmMhm4U4L57PVl&#10;iqWLN/6h6zZXSkI4lWjA59yWWifrKWAaxpZYtGPsAmZZu0q7Dm8SHho9LoqJDlizNHhsaenJnreX&#10;YKD2J1wfHjbhQa/20Z42v5oqYwZv/eITVKY+P83/199O8AVWfpEB9O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N6SywgAAANsAAAAPAAAAAAAAAAAAAAAAAJgCAABkcnMvZG93&#10;bnJldi54bWxQSwUGAAAAAAQABAD1AAAAhwMAAAAA&#10;" path="m,l7,17r,26l6,40,,25,,xe" fillcolor="#44546a [3215]" strokecolor="#44546a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0JAb8A&#10;AADbAAAADwAAAGRycy9kb3ducmV2LnhtbERPTYvCMBC9C/6HMII3Td2DaDWKCguyPekKXsdmbIrN&#10;JDRZrf/eCMLe5vE+Z7nubCPu1IbasYLJOANBXDpdc6Xg9Ps9moEIEVlj45gUPCnAetXvLTHX7sEH&#10;uh9jJVIIhxwVmBh9LmUoDVkMY+eJE3d1rcWYYFtJ3eIjhdtGfmXZVFqsOTUY9LQzVN6Of1ZBsTXz&#10;ujr8TIqtnPqLL877zems1HDQbRYgInXxX/xx73WaP4f3L+kAuX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QkBvwAAANsAAAAPAAAAAAAAAAAAAAAAAJgCAABkcnMvZG93bnJl&#10;di54bWxQSwUGAAAAAAQABAD1AAAAhAM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rsidR="005C623A" w:rsidRDefault="005C623A">
          <w:r>
            <w:rPr>
              <w:noProof/>
              <w:lang w:val="en-US" w:eastAsia="ko-KR"/>
            </w:rPr>
            <mc:AlternateContent>
              <mc:Choice Requires="wps">
                <w:drawing>
                  <wp:anchor distT="0" distB="0" distL="114300" distR="114300" simplePos="0" relativeHeight="251660288" behindDoc="0" locked="0" layoutInCell="1" allowOverlap="1" wp14:anchorId="79D7537C" wp14:editId="54AAA4B9">
                    <wp:simplePos x="0" y="0"/>
                    <wp:positionH relativeFrom="margin">
                      <wp:align>right</wp:align>
                    </wp:positionH>
                    <wp:positionV relativeFrom="page">
                      <wp:posOffset>1866900</wp:posOffset>
                    </wp:positionV>
                    <wp:extent cx="3790950" cy="1069848"/>
                    <wp:effectExtent l="0" t="0" r="0" b="0"/>
                    <wp:wrapNone/>
                    <wp:docPr id="1" name="Text Box 1"/>
                    <wp:cNvGraphicFramePr/>
                    <a:graphic xmlns:a="http://schemas.openxmlformats.org/drawingml/2006/main">
                      <a:graphicData uri="http://schemas.microsoft.com/office/word/2010/wordprocessingShape">
                        <wps:wsp>
                          <wps:cNvSpPr txBox="1"/>
                          <wps:spPr>
                            <a:xfrm>
                              <a:off x="0" y="0"/>
                              <a:ext cx="379095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C5454" w:rsidRDefault="007D4E41">
                                <w:pPr>
                                  <w:pStyle w:val="a3"/>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le"/>
                                    <w:tag w:val=""/>
                                    <w:id w:val="-1949848864"/>
                                    <w:dataBinding w:prefixMappings="xmlns:ns0='http://purl.org/dc/elements/1.1/' xmlns:ns1='http://schemas.openxmlformats.org/package/2006/metadata/core-properties' " w:xpath="/ns1:coreProperties[1]/ns0:title[1]" w:storeItemID="{6C3C8BC8-F283-45AE-878A-BAB7291924A1}"/>
                                    <w:text/>
                                  </w:sdtPr>
                                  <w:sdtEndPr/>
                                  <w:sdtContent>
                                    <w:r w:rsidR="009C5454">
                                      <w:rPr>
                                        <w:rFonts w:asciiTheme="majorHAnsi" w:eastAsiaTheme="majorEastAsia" w:hAnsiTheme="majorHAnsi" w:cstheme="majorBidi"/>
                                        <w:color w:val="262626" w:themeColor="text1" w:themeTint="D9"/>
                                        <w:sz w:val="72"/>
                                        <w:szCs w:val="72"/>
                                      </w:rPr>
                                      <w:t>ACCG350: Financial Statement Analysis</w:t>
                                    </w:r>
                                  </w:sdtContent>
                                </w:sdt>
                              </w:p>
                              <w:p w:rsidR="009C5454" w:rsidRDefault="007D4E41">
                                <w:pPr>
                                  <w:spacing w:before="120"/>
                                  <w:rPr>
                                    <w:color w:val="404040" w:themeColor="text1" w:themeTint="BF"/>
                                    <w:sz w:val="36"/>
                                    <w:szCs w:val="36"/>
                                  </w:rPr>
                                </w:pPr>
                                <w:sdt>
                                  <w:sdtPr>
                                    <w:rPr>
                                      <w:color w:val="404040" w:themeColor="text1" w:themeTint="BF"/>
                                      <w:sz w:val="36"/>
                                      <w:szCs w:val="36"/>
                                    </w:rPr>
                                    <w:alias w:val="Subtitle"/>
                                    <w:tag w:val=""/>
                                    <w:id w:val="-1402211805"/>
                                    <w:dataBinding w:prefixMappings="xmlns:ns0='http://purl.org/dc/elements/1.1/' xmlns:ns1='http://schemas.openxmlformats.org/package/2006/metadata/core-properties' " w:xpath="/ns1:coreProperties[1]/ns0:subject[1]" w:storeItemID="{6C3C8BC8-F283-45AE-878A-BAB7291924A1}"/>
                                    <w:text/>
                                  </w:sdtPr>
                                  <w:sdtEndPr/>
                                  <w:sdtContent>
                                    <w:r w:rsidR="009C5454">
                                      <w:rPr>
                                        <w:color w:val="404040" w:themeColor="text1" w:themeTint="BF"/>
                                        <w:sz w:val="36"/>
                                        <w:szCs w:val="36"/>
                                      </w:rPr>
                                      <w:t>Individual Report</w:t>
                                    </w:r>
                                  </w:sdtContent>
                                </w:sdt>
                                <w:r w:rsidR="009C5454">
                                  <w:rPr>
                                    <w:color w:val="404040" w:themeColor="text1" w:themeTint="BF"/>
                                    <w:sz w:val="36"/>
                                    <w:szCs w:val="36"/>
                                  </w:rPr>
                                  <w:t xml:space="preserve"> - FXJ</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55" type="#_x0000_t202" style="position:absolute;margin-left:247.3pt;margin-top:147pt;width:298.5pt;height:84.2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RLcwIAAFoFAAAOAAAAZHJzL2Uyb0RvYy54bWysVF1P2zAUfZ+0/2D5faSFjZWIFHUgpkkI&#10;0GDi2XXsNpq/ZrtNul+/YycprNsL017S23uPj+/HuT6/6LQiW+FDY01Fp0cTSoThtm7MqqLfHq/f&#10;zSgJkZmaKWtERXci0Iv52zfnrSvFsV1bVQtPQGJC2bqKrmN0ZVEEvhaahSPrhEFQWq9ZxF+/KmrP&#10;WrBrVRxPJqdFa33tvOUiBHiv+iCdZ34pBY93UgYRiaoocov56/N3mb7F/JyVK8/cuuFDGuwfstCs&#10;Mbh0T3XFIiMb3/xBpRvubbAyHnGrCytlw0WuAdVMJwfVPKyZE7kWNCe4fZvC/6Plt9t7T5oas6PE&#10;MI0RPYoukk+2I9PUndaFEqAHB1js4E7IwR/gTEV30uv0i3II4ujzbt/bRMbhPPl4Njn7gBBHbDo5&#10;PZu9nyWe4vm48yF+FlaTZFTUY3i5p2x7E2IPHSHpNmOvG6XgZ6UypK3o6Qn4f4uAXJnkEVkKA00q&#10;qU89W3GnRE/yVUi0IleQHFmE4lJ5smWQD+NcmJiLz7xAJ5REEq85OOCfs3rN4b6O8WZr4v6wboz1&#10;ufqDtOvvY8qyx6PnL+pOZuyW3aCBYbJLW+8wcG/7hQmOXzcYyg0L8Z55bAgGia2Pd/hIZdF8O1iU&#10;rK3/+Td/wkO4iFLSYuMqGn5smBeUqC8Gkk7rORp+NJajYTb60mIKkCmyySYO+KhGU3qrn/AYLNIt&#10;CDHDcVdF42hexn7v8ZhwsVhkEJbQsXhjHhxP1GkoSWKP3RPzbtBhhIRv7biLrDyQY4/NenGLTYQo&#10;s1ZTX/suDv3GAme1D49NeiFe/s+o5ydx/gsAAP//AwBQSwMEFAAGAAgAAAAhAIQnG9reAAAACAEA&#10;AA8AAABkcnMvZG93bnJldi54bWxMj0FPwzAMhe9I/IfISNxYSrUNVppOCMEOcFqHph29Jm0KjVM1&#10;WVf49ZgT3J717Ofv5evJdWI0Q2g9KbidJSAMVV631Ch4373c3IMIEUlj58ko+DIB1sXlRY6Z9mfa&#10;mrGMjeAQChkqsDH2mZShssZhmPneEHu1HxxGHodG6gHPHO46mSbJUjpsiT9Y7M2TNdVneXKMsX9L&#10;3Oa7tgf3inUo7W7cPH8odX01PT6AiGaKf8vwi883UDDT0Z9IB9Ep4CJRQbqas2B7sbpjcVQwX6YL&#10;kEUu/xcofgAAAP//AwBQSwECLQAUAAYACAAAACEAtoM4kv4AAADhAQAAEwAAAAAAAAAAAAAAAAAA&#10;AAAAW0NvbnRlbnRfVHlwZXNdLnhtbFBLAQItABQABgAIAAAAIQA4/SH/1gAAAJQBAAALAAAAAAAA&#10;AAAAAAAAAC8BAABfcmVscy8ucmVsc1BLAQItABQABgAIAAAAIQCR/QRLcwIAAFoFAAAOAAAAAAAA&#10;AAAAAAAAAC4CAABkcnMvZTJvRG9jLnhtbFBLAQItABQABgAIAAAAIQCEJxva3gAAAAgBAAAPAAAA&#10;AAAAAAAAAAAAAM0EAABkcnMvZG93bnJldi54bWxQSwUGAAAAAAQABADzAAAA2AUAAAAA&#10;" filled="f" stroked="f" strokeweight=".5pt">
                    <v:textbox style="mso-fit-shape-to-text:t" inset="0,0,0,0">
                      <w:txbxContent>
                        <w:p w:rsidR="009C5454" w:rsidRDefault="007D4E41">
                          <w:pPr>
                            <w:pStyle w:val="a3"/>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le"/>
                              <w:tag w:val=""/>
                              <w:id w:val="-1949848864"/>
                              <w:dataBinding w:prefixMappings="xmlns:ns0='http://purl.org/dc/elements/1.1/' xmlns:ns1='http://schemas.openxmlformats.org/package/2006/metadata/core-properties' " w:xpath="/ns1:coreProperties[1]/ns0:title[1]" w:storeItemID="{6C3C8BC8-F283-45AE-878A-BAB7291924A1}"/>
                              <w:text/>
                            </w:sdtPr>
                            <w:sdtEndPr/>
                            <w:sdtContent>
                              <w:r w:rsidR="009C5454">
                                <w:rPr>
                                  <w:rFonts w:asciiTheme="majorHAnsi" w:eastAsiaTheme="majorEastAsia" w:hAnsiTheme="majorHAnsi" w:cstheme="majorBidi"/>
                                  <w:color w:val="262626" w:themeColor="text1" w:themeTint="D9"/>
                                  <w:sz w:val="72"/>
                                  <w:szCs w:val="72"/>
                                </w:rPr>
                                <w:t>ACCG350: Financial Statement Analysis</w:t>
                              </w:r>
                            </w:sdtContent>
                          </w:sdt>
                        </w:p>
                        <w:p w:rsidR="009C5454" w:rsidRDefault="007D4E41">
                          <w:pPr>
                            <w:spacing w:before="120"/>
                            <w:rPr>
                              <w:color w:val="404040" w:themeColor="text1" w:themeTint="BF"/>
                              <w:sz w:val="36"/>
                              <w:szCs w:val="36"/>
                            </w:rPr>
                          </w:pPr>
                          <w:sdt>
                            <w:sdtPr>
                              <w:rPr>
                                <w:color w:val="404040" w:themeColor="text1" w:themeTint="BF"/>
                                <w:sz w:val="36"/>
                                <w:szCs w:val="36"/>
                              </w:rPr>
                              <w:alias w:val="Subtitle"/>
                              <w:tag w:val=""/>
                              <w:id w:val="-1402211805"/>
                              <w:dataBinding w:prefixMappings="xmlns:ns0='http://purl.org/dc/elements/1.1/' xmlns:ns1='http://schemas.openxmlformats.org/package/2006/metadata/core-properties' " w:xpath="/ns1:coreProperties[1]/ns0:subject[1]" w:storeItemID="{6C3C8BC8-F283-45AE-878A-BAB7291924A1}"/>
                              <w:text/>
                            </w:sdtPr>
                            <w:sdtEndPr/>
                            <w:sdtContent>
                              <w:r w:rsidR="009C5454">
                                <w:rPr>
                                  <w:color w:val="404040" w:themeColor="text1" w:themeTint="BF"/>
                                  <w:sz w:val="36"/>
                                  <w:szCs w:val="36"/>
                                </w:rPr>
                                <w:t>Individual Report</w:t>
                              </w:r>
                            </w:sdtContent>
                          </w:sdt>
                          <w:r w:rsidR="009C5454">
                            <w:rPr>
                              <w:color w:val="404040" w:themeColor="text1" w:themeTint="BF"/>
                              <w:sz w:val="36"/>
                              <w:szCs w:val="36"/>
                            </w:rPr>
                            <w:t xml:space="preserve"> - FXJ</w:t>
                          </w:r>
                        </w:p>
                      </w:txbxContent>
                    </v:textbox>
                    <w10:wrap anchorx="margin" anchory="page"/>
                  </v:shape>
                </w:pict>
              </mc:Fallback>
            </mc:AlternateContent>
          </w:r>
          <w:r>
            <w:br w:type="page"/>
          </w:r>
        </w:p>
      </w:sdtContent>
    </w:sdt>
    <w:sdt>
      <w:sdtPr>
        <w:rPr>
          <w:rFonts w:asciiTheme="minorHAnsi" w:eastAsiaTheme="minorHAnsi" w:hAnsiTheme="minorHAnsi" w:cstheme="minorBidi"/>
          <w:color w:val="auto"/>
          <w:sz w:val="22"/>
          <w:szCs w:val="22"/>
          <w:lang w:val="en-AU"/>
        </w:rPr>
        <w:id w:val="-1737082408"/>
        <w:docPartObj>
          <w:docPartGallery w:val="Table of Contents"/>
          <w:docPartUnique/>
        </w:docPartObj>
      </w:sdtPr>
      <w:sdtEndPr>
        <w:rPr>
          <w:rFonts w:eastAsiaTheme="minorEastAsia"/>
          <w:b/>
          <w:bCs/>
          <w:noProof/>
        </w:rPr>
      </w:sdtEndPr>
      <w:sdtContent>
        <w:p w:rsidR="00BF1DE3" w:rsidRPr="00BF1DE3" w:rsidRDefault="00BF1DE3">
          <w:pPr>
            <w:pStyle w:val="TOC"/>
            <w:rPr>
              <w:color w:val="5B9BD5" w:themeColor="accent1"/>
              <w:sz w:val="44"/>
            </w:rPr>
          </w:pPr>
          <w:r w:rsidRPr="00BF1DE3">
            <w:rPr>
              <w:color w:val="5B9BD5" w:themeColor="accent1"/>
              <w:sz w:val="44"/>
            </w:rPr>
            <w:t>Table of Contents</w:t>
          </w:r>
        </w:p>
        <w:p w:rsidR="00593005" w:rsidRDefault="00593005">
          <w:pPr>
            <w:pStyle w:val="10"/>
          </w:pPr>
        </w:p>
        <w:p w:rsidR="00593005" w:rsidRDefault="00BF1DE3">
          <w:pPr>
            <w:pStyle w:val="10"/>
            <w:rPr>
              <w:rFonts w:cstheme="minorBidi"/>
              <w:b w:val="0"/>
              <w:color w:val="auto"/>
              <w:lang w:val="en-AU" w:eastAsia="en-AU"/>
            </w:rPr>
          </w:pPr>
          <w:r w:rsidRPr="00BF1DE3">
            <w:fldChar w:fldCharType="begin"/>
          </w:r>
          <w:r w:rsidRPr="00BF1DE3">
            <w:instrText xml:space="preserve"> TOC \o "1-3" \h \z \u </w:instrText>
          </w:r>
          <w:r w:rsidRPr="00BF1DE3">
            <w:fldChar w:fldCharType="separate"/>
          </w:r>
          <w:hyperlink w:anchor="_Toc420625238" w:history="1">
            <w:r w:rsidR="00593005" w:rsidRPr="00F017AA">
              <w:rPr>
                <w:rStyle w:val="a7"/>
                <w:color w:val="0679EE" w:themeColor="hyperlink" w:themeTint="D9"/>
              </w:rPr>
              <w:t>Prospective Analysis</w:t>
            </w:r>
            <w:r w:rsidR="00593005">
              <w:rPr>
                <w:webHidden/>
              </w:rPr>
              <w:tab/>
            </w:r>
            <w:r w:rsidR="00593005">
              <w:rPr>
                <w:webHidden/>
              </w:rPr>
              <w:fldChar w:fldCharType="begin"/>
            </w:r>
            <w:r w:rsidR="00593005">
              <w:rPr>
                <w:webHidden/>
              </w:rPr>
              <w:instrText xml:space="preserve"> PAGEREF _Toc420625238 \h </w:instrText>
            </w:r>
            <w:r w:rsidR="00593005">
              <w:rPr>
                <w:webHidden/>
              </w:rPr>
            </w:r>
            <w:r w:rsidR="00593005">
              <w:rPr>
                <w:webHidden/>
              </w:rPr>
              <w:fldChar w:fldCharType="separate"/>
            </w:r>
            <w:r w:rsidR="00593005">
              <w:rPr>
                <w:webHidden/>
              </w:rPr>
              <w:t>2</w:t>
            </w:r>
            <w:r w:rsidR="00593005">
              <w:rPr>
                <w:webHidden/>
              </w:rPr>
              <w:fldChar w:fldCharType="end"/>
            </w:r>
          </w:hyperlink>
        </w:p>
        <w:p w:rsidR="00593005" w:rsidRDefault="007D4E41">
          <w:pPr>
            <w:pStyle w:val="20"/>
            <w:rPr>
              <w:rFonts w:cstheme="minorBidi"/>
              <w:noProof/>
              <w:lang w:val="en-AU" w:eastAsia="en-AU"/>
            </w:rPr>
          </w:pPr>
          <w:hyperlink w:anchor="_Toc420625239" w:history="1">
            <w:r w:rsidR="00593005" w:rsidRPr="00F017AA">
              <w:rPr>
                <w:rStyle w:val="a7"/>
                <w:noProof/>
              </w:rPr>
              <w:t>Forecast:</w:t>
            </w:r>
            <w:r w:rsidR="00593005">
              <w:rPr>
                <w:noProof/>
                <w:webHidden/>
              </w:rPr>
              <w:tab/>
            </w:r>
            <w:r w:rsidR="00593005">
              <w:rPr>
                <w:noProof/>
                <w:webHidden/>
              </w:rPr>
              <w:fldChar w:fldCharType="begin"/>
            </w:r>
            <w:r w:rsidR="00593005">
              <w:rPr>
                <w:noProof/>
                <w:webHidden/>
              </w:rPr>
              <w:instrText xml:space="preserve"> PAGEREF _Toc420625239 \h </w:instrText>
            </w:r>
            <w:r w:rsidR="00593005">
              <w:rPr>
                <w:noProof/>
                <w:webHidden/>
              </w:rPr>
            </w:r>
            <w:r w:rsidR="00593005">
              <w:rPr>
                <w:noProof/>
                <w:webHidden/>
              </w:rPr>
              <w:fldChar w:fldCharType="separate"/>
            </w:r>
            <w:r w:rsidR="00593005">
              <w:rPr>
                <w:noProof/>
                <w:webHidden/>
              </w:rPr>
              <w:t>2</w:t>
            </w:r>
            <w:r w:rsidR="00593005">
              <w:rPr>
                <w:noProof/>
                <w:webHidden/>
              </w:rPr>
              <w:fldChar w:fldCharType="end"/>
            </w:r>
          </w:hyperlink>
        </w:p>
        <w:p w:rsidR="00593005" w:rsidRDefault="007D4E41">
          <w:pPr>
            <w:pStyle w:val="30"/>
            <w:tabs>
              <w:tab w:val="right" w:leader="dot" w:pos="9016"/>
            </w:tabs>
            <w:rPr>
              <w:rFonts w:cstheme="minorBidi"/>
              <w:noProof/>
              <w:lang w:val="en-AU" w:eastAsia="en-AU"/>
            </w:rPr>
          </w:pPr>
          <w:hyperlink w:anchor="_Toc420625240" w:history="1">
            <w:r w:rsidR="00593005" w:rsidRPr="00F017AA">
              <w:rPr>
                <w:rStyle w:val="a7"/>
                <w:noProof/>
              </w:rPr>
              <w:t>Key elements</w:t>
            </w:r>
            <w:r w:rsidR="00593005">
              <w:rPr>
                <w:noProof/>
                <w:webHidden/>
              </w:rPr>
              <w:tab/>
            </w:r>
            <w:r w:rsidR="00593005">
              <w:rPr>
                <w:noProof/>
                <w:webHidden/>
              </w:rPr>
              <w:fldChar w:fldCharType="begin"/>
            </w:r>
            <w:r w:rsidR="00593005">
              <w:rPr>
                <w:noProof/>
                <w:webHidden/>
              </w:rPr>
              <w:instrText xml:space="preserve"> PAGEREF _Toc420625240 \h </w:instrText>
            </w:r>
            <w:r w:rsidR="00593005">
              <w:rPr>
                <w:noProof/>
                <w:webHidden/>
              </w:rPr>
            </w:r>
            <w:r w:rsidR="00593005">
              <w:rPr>
                <w:noProof/>
                <w:webHidden/>
              </w:rPr>
              <w:fldChar w:fldCharType="separate"/>
            </w:r>
            <w:r w:rsidR="00593005">
              <w:rPr>
                <w:noProof/>
                <w:webHidden/>
              </w:rPr>
              <w:t>2</w:t>
            </w:r>
            <w:r w:rsidR="00593005">
              <w:rPr>
                <w:noProof/>
                <w:webHidden/>
              </w:rPr>
              <w:fldChar w:fldCharType="end"/>
            </w:r>
          </w:hyperlink>
        </w:p>
        <w:p w:rsidR="00593005" w:rsidRDefault="007D4E41">
          <w:pPr>
            <w:pStyle w:val="30"/>
            <w:tabs>
              <w:tab w:val="right" w:leader="dot" w:pos="9016"/>
            </w:tabs>
            <w:rPr>
              <w:rFonts w:cstheme="minorBidi"/>
              <w:noProof/>
              <w:lang w:val="en-AU" w:eastAsia="en-AU"/>
            </w:rPr>
          </w:pPr>
          <w:hyperlink w:anchor="_Toc420625241" w:history="1">
            <w:r w:rsidR="00593005" w:rsidRPr="00F017AA">
              <w:rPr>
                <w:rStyle w:val="a7"/>
                <w:noProof/>
              </w:rPr>
              <w:t>Income Statement and Balance Sheet</w:t>
            </w:r>
            <w:r w:rsidR="00593005">
              <w:rPr>
                <w:noProof/>
                <w:webHidden/>
              </w:rPr>
              <w:tab/>
            </w:r>
            <w:r w:rsidR="00593005">
              <w:rPr>
                <w:noProof/>
                <w:webHidden/>
              </w:rPr>
              <w:fldChar w:fldCharType="begin"/>
            </w:r>
            <w:r w:rsidR="00593005">
              <w:rPr>
                <w:noProof/>
                <w:webHidden/>
              </w:rPr>
              <w:instrText xml:space="preserve"> PAGEREF _Toc420625241 \h </w:instrText>
            </w:r>
            <w:r w:rsidR="00593005">
              <w:rPr>
                <w:noProof/>
                <w:webHidden/>
              </w:rPr>
            </w:r>
            <w:r w:rsidR="00593005">
              <w:rPr>
                <w:noProof/>
                <w:webHidden/>
              </w:rPr>
              <w:fldChar w:fldCharType="separate"/>
            </w:r>
            <w:r w:rsidR="00593005">
              <w:rPr>
                <w:noProof/>
                <w:webHidden/>
              </w:rPr>
              <w:t>2</w:t>
            </w:r>
            <w:r w:rsidR="00593005">
              <w:rPr>
                <w:noProof/>
                <w:webHidden/>
              </w:rPr>
              <w:fldChar w:fldCharType="end"/>
            </w:r>
          </w:hyperlink>
        </w:p>
        <w:p w:rsidR="00593005" w:rsidRDefault="007D4E41">
          <w:pPr>
            <w:pStyle w:val="30"/>
            <w:tabs>
              <w:tab w:val="right" w:leader="dot" w:pos="9016"/>
            </w:tabs>
            <w:rPr>
              <w:rFonts w:cstheme="minorBidi"/>
              <w:noProof/>
              <w:lang w:val="en-AU" w:eastAsia="en-AU"/>
            </w:rPr>
          </w:pPr>
          <w:hyperlink w:anchor="_Toc420625242" w:history="1">
            <w:r w:rsidR="00593005" w:rsidRPr="00F017AA">
              <w:rPr>
                <w:rStyle w:val="a7"/>
                <w:noProof/>
              </w:rPr>
              <w:t>Forecast assumptions</w:t>
            </w:r>
            <w:r w:rsidR="00593005">
              <w:rPr>
                <w:noProof/>
                <w:webHidden/>
              </w:rPr>
              <w:tab/>
            </w:r>
            <w:r w:rsidR="00593005">
              <w:rPr>
                <w:noProof/>
                <w:webHidden/>
              </w:rPr>
              <w:fldChar w:fldCharType="begin"/>
            </w:r>
            <w:r w:rsidR="00593005">
              <w:rPr>
                <w:noProof/>
                <w:webHidden/>
              </w:rPr>
              <w:instrText xml:space="preserve"> PAGEREF _Toc420625242 \h </w:instrText>
            </w:r>
            <w:r w:rsidR="00593005">
              <w:rPr>
                <w:noProof/>
                <w:webHidden/>
              </w:rPr>
            </w:r>
            <w:r w:rsidR="00593005">
              <w:rPr>
                <w:noProof/>
                <w:webHidden/>
              </w:rPr>
              <w:fldChar w:fldCharType="separate"/>
            </w:r>
            <w:r w:rsidR="00593005">
              <w:rPr>
                <w:noProof/>
                <w:webHidden/>
              </w:rPr>
              <w:t>3</w:t>
            </w:r>
            <w:r w:rsidR="00593005">
              <w:rPr>
                <w:noProof/>
                <w:webHidden/>
              </w:rPr>
              <w:fldChar w:fldCharType="end"/>
            </w:r>
          </w:hyperlink>
        </w:p>
        <w:p w:rsidR="00593005" w:rsidRDefault="007D4E41">
          <w:pPr>
            <w:pStyle w:val="20"/>
            <w:rPr>
              <w:rFonts w:cstheme="minorBidi"/>
              <w:noProof/>
              <w:lang w:val="en-AU" w:eastAsia="en-AU"/>
            </w:rPr>
          </w:pPr>
          <w:hyperlink w:anchor="_Toc420625243" w:history="1">
            <w:r w:rsidR="00593005" w:rsidRPr="00F017AA">
              <w:rPr>
                <w:rStyle w:val="a7"/>
                <w:noProof/>
              </w:rPr>
              <w:t>Valuation:</w:t>
            </w:r>
            <w:r w:rsidR="00593005">
              <w:rPr>
                <w:noProof/>
                <w:webHidden/>
              </w:rPr>
              <w:tab/>
            </w:r>
          </w:hyperlink>
          <w:r w:rsidR="005E6BF9">
            <w:rPr>
              <w:noProof/>
            </w:rPr>
            <w:t>6</w:t>
          </w:r>
        </w:p>
        <w:p w:rsidR="00593005" w:rsidRDefault="007D4E41">
          <w:pPr>
            <w:pStyle w:val="30"/>
            <w:tabs>
              <w:tab w:val="right" w:leader="dot" w:pos="9016"/>
            </w:tabs>
            <w:rPr>
              <w:rFonts w:cstheme="minorBidi"/>
              <w:noProof/>
              <w:lang w:val="en-AU" w:eastAsia="en-AU"/>
            </w:rPr>
          </w:pPr>
          <w:hyperlink w:anchor="_Toc420625244" w:history="1">
            <w:r w:rsidR="00593005" w:rsidRPr="00F017AA">
              <w:rPr>
                <w:rStyle w:val="a7"/>
                <w:noProof/>
              </w:rPr>
              <w:t>Free Cash Flow Valuation Method</w:t>
            </w:r>
            <w:r w:rsidR="00593005">
              <w:rPr>
                <w:noProof/>
                <w:webHidden/>
              </w:rPr>
              <w:tab/>
            </w:r>
          </w:hyperlink>
          <w:r w:rsidR="005E6BF9">
            <w:rPr>
              <w:noProof/>
            </w:rPr>
            <w:t>6</w:t>
          </w:r>
        </w:p>
        <w:p w:rsidR="00593005" w:rsidRDefault="007D4E41">
          <w:pPr>
            <w:pStyle w:val="30"/>
            <w:tabs>
              <w:tab w:val="right" w:leader="dot" w:pos="9016"/>
            </w:tabs>
            <w:rPr>
              <w:rFonts w:cstheme="minorBidi"/>
              <w:noProof/>
              <w:lang w:val="en-AU" w:eastAsia="en-AU"/>
            </w:rPr>
          </w:pPr>
          <w:hyperlink w:anchor="_Toc420625245" w:history="1">
            <w:r w:rsidR="00593005" w:rsidRPr="00F017AA">
              <w:rPr>
                <w:rStyle w:val="a7"/>
                <w:noProof/>
              </w:rPr>
              <w:t>Abnormal Earnings Valuation Method</w:t>
            </w:r>
            <w:r w:rsidR="00593005">
              <w:rPr>
                <w:noProof/>
                <w:webHidden/>
              </w:rPr>
              <w:tab/>
            </w:r>
          </w:hyperlink>
          <w:r w:rsidR="005E6BF9">
            <w:rPr>
              <w:noProof/>
            </w:rPr>
            <w:t>6</w:t>
          </w:r>
        </w:p>
        <w:p w:rsidR="00593005" w:rsidRDefault="007D4E41">
          <w:pPr>
            <w:pStyle w:val="30"/>
            <w:tabs>
              <w:tab w:val="right" w:leader="dot" w:pos="9016"/>
            </w:tabs>
            <w:rPr>
              <w:rFonts w:cstheme="minorBidi"/>
              <w:noProof/>
              <w:lang w:val="en-AU" w:eastAsia="en-AU"/>
            </w:rPr>
          </w:pPr>
          <w:hyperlink w:anchor="_Toc420625246" w:history="1">
            <w:r w:rsidR="00593005" w:rsidRPr="00F017AA">
              <w:rPr>
                <w:rStyle w:val="a7"/>
                <w:noProof/>
              </w:rPr>
              <w:t>Valuation parameter estimation</w:t>
            </w:r>
            <w:r w:rsidR="00593005">
              <w:rPr>
                <w:noProof/>
                <w:webHidden/>
              </w:rPr>
              <w:tab/>
            </w:r>
          </w:hyperlink>
          <w:r w:rsidR="005E6BF9">
            <w:rPr>
              <w:noProof/>
            </w:rPr>
            <w:t>7</w:t>
          </w:r>
        </w:p>
        <w:p w:rsidR="00593005" w:rsidRDefault="007D4E41">
          <w:pPr>
            <w:pStyle w:val="30"/>
            <w:tabs>
              <w:tab w:val="right" w:leader="dot" w:pos="9016"/>
            </w:tabs>
            <w:rPr>
              <w:rFonts w:cstheme="minorBidi"/>
              <w:noProof/>
              <w:lang w:val="en-AU" w:eastAsia="en-AU"/>
            </w:rPr>
          </w:pPr>
          <w:hyperlink w:anchor="_Toc420625247" w:history="1">
            <w:r w:rsidR="00593005" w:rsidRPr="00F017AA">
              <w:rPr>
                <w:rStyle w:val="a7"/>
                <w:noProof/>
              </w:rPr>
              <w:t>Sensitivity Analysis</w:t>
            </w:r>
            <w:r w:rsidR="00593005">
              <w:rPr>
                <w:noProof/>
                <w:webHidden/>
              </w:rPr>
              <w:tab/>
            </w:r>
          </w:hyperlink>
          <w:r w:rsidR="005E6BF9">
            <w:rPr>
              <w:noProof/>
            </w:rPr>
            <w:t>7</w:t>
          </w:r>
        </w:p>
        <w:p w:rsidR="00593005" w:rsidRDefault="007D4E41">
          <w:pPr>
            <w:pStyle w:val="30"/>
            <w:tabs>
              <w:tab w:val="right" w:leader="dot" w:pos="9016"/>
            </w:tabs>
            <w:rPr>
              <w:rFonts w:cstheme="minorBidi"/>
              <w:noProof/>
              <w:lang w:val="en-AU" w:eastAsia="en-AU"/>
            </w:rPr>
          </w:pPr>
          <w:hyperlink w:anchor="_Toc420625248" w:history="1">
            <w:r w:rsidR="00593005" w:rsidRPr="00F017AA">
              <w:rPr>
                <w:rStyle w:val="a7"/>
                <w:noProof/>
              </w:rPr>
              <w:t>Estimated value per share</w:t>
            </w:r>
            <w:r w:rsidR="00593005">
              <w:rPr>
                <w:noProof/>
                <w:webHidden/>
              </w:rPr>
              <w:tab/>
            </w:r>
          </w:hyperlink>
          <w:r w:rsidR="005E6BF9">
            <w:rPr>
              <w:noProof/>
            </w:rPr>
            <w:t>8</w:t>
          </w:r>
        </w:p>
        <w:p w:rsidR="00593005" w:rsidRDefault="007D4E41">
          <w:pPr>
            <w:pStyle w:val="10"/>
            <w:rPr>
              <w:rFonts w:cstheme="minorBidi"/>
              <w:b w:val="0"/>
              <w:color w:val="auto"/>
              <w:lang w:val="en-AU" w:eastAsia="en-AU"/>
            </w:rPr>
          </w:pPr>
          <w:hyperlink w:anchor="_Toc420625249" w:history="1">
            <w:r w:rsidR="00593005" w:rsidRPr="00F017AA">
              <w:rPr>
                <w:rStyle w:val="a7"/>
                <w:color w:val="0679EE" w:themeColor="hyperlink" w:themeTint="D9"/>
              </w:rPr>
              <w:t>Recommendation</w:t>
            </w:r>
            <w:r w:rsidR="00593005">
              <w:rPr>
                <w:webHidden/>
              </w:rPr>
              <w:tab/>
            </w:r>
          </w:hyperlink>
          <w:r w:rsidR="005E6BF9">
            <w:t>9</w:t>
          </w:r>
        </w:p>
        <w:p w:rsidR="00593005" w:rsidRDefault="007D4E41">
          <w:pPr>
            <w:pStyle w:val="30"/>
            <w:tabs>
              <w:tab w:val="right" w:leader="dot" w:pos="9016"/>
            </w:tabs>
            <w:rPr>
              <w:rFonts w:cstheme="minorBidi"/>
              <w:noProof/>
              <w:lang w:val="en-AU" w:eastAsia="en-AU"/>
            </w:rPr>
          </w:pPr>
          <w:hyperlink w:anchor="_Toc420625250" w:history="1">
            <w:r w:rsidR="00593005" w:rsidRPr="00F017AA">
              <w:rPr>
                <w:rStyle w:val="a7"/>
                <w:noProof/>
              </w:rPr>
              <w:t>Summary of findings</w:t>
            </w:r>
            <w:r w:rsidR="00593005">
              <w:rPr>
                <w:noProof/>
                <w:webHidden/>
              </w:rPr>
              <w:tab/>
            </w:r>
          </w:hyperlink>
          <w:r w:rsidR="005E6BF9">
            <w:rPr>
              <w:noProof/>
            </w:rPr>
            <w:t>9</w:t>
          </w:r>
        </w:p>
        <w:p w:rsidR="00593005" w:rsidRDefault="007D4E41">
          <w:pPr>
            <w:pStyle w:val="30"/>
            <w:tabs>
              <w:tab w:val="right" w:leader="dot" w:pos="9016"/>
            </w:tabs>
            <w:rPr>
              <w:rFonts w:cstheme="minorBidi"/>
              <w:noProof/>
              <w:lang w:val="en-AU" w:eastAsia="en-AU"/>
            </w:rPr>
          </w:pPr>
          <w:hyperlink w:anchor="_Toc420625251" w:history="1">
            <w:r w:rsidR="00593005" w:rsidRPr="00F017AA">
              <w:rPr>
                <w:rStyle w:val="a7"/>
                <w:noProof/>
              </w:rPr>
              <w:t>Final Recommendation</w:t>
            </w:r>
            <w:r w:rsidR="00593005">
              <w:rPr>
                <w:noProof/>
                <w:webHidden/>
              </w:rPr>
              <w:tab/>
            </w:r>
          </w:hyperlink>
          <w:r w:rsidR="005E6BF9">
            <w:rPr>
              <w:noProof/>
            </w:rPr>
            <w:t>10</w:t>
          </w:r>
        </w:p>
        <w:p w:rsidR="00593005" w:rsidRDefault="007D4E41">
          <w:pPr>
            <w:pStyle w:val="10"/>
            <w:rPr>
              <w:rFonts w:cstheme="minorBidi"/>
              <w:b w:val="0"/>
              <w:color w:val="auto"/>
              <w:lang w:val="en-AU" w:eastAsia="en-AU"/>
            </w:rPr>
          </w:pPr>
          <w:hyperlink w:anchor="_Toc420625252" w:history="1">
            <w:r w:rsidR="00593005" w:rsidRPr="00F017AA">
              <w:rPr>
                <w:rStyle w:val="a7"/>
                <w:color w:val="0679EE" w:themeColor="hyperlink" w:themeTint="D9"/>
              </w:rPr>
              <w:t>Appendix</w:t>
            </w:r>
            <w:r w:rsidR="00593005">
              <w:rPr>
                <w:webHidden/>
              </w:rPr>
              <w:tab/>
            </w:r>
          </w:hyperlink>
          <w:r w:rsidR="005E6BF9">
            <w:t>10</w:t>
          </w:r>
        </w:p>
        <w:p w:rsidR="00593005" w:rsidRDefault="007D4E41">
          <w:pPr>
            <w:pStyle w:val="10"/>
            <w:rPr>
              <w:rFonts w:cstheme="minorBidi"/>
              <w:b w:val="0"/>
              <w:color w:val="auto"/>
              <w:lang w:val="en-AU" w:eastAsia="en-AU"/>
            </w:rPr>
          </w:pPr>
          <w:hyperlink w:anchor="_Toc420625253" w:history="1">
            <w:r w:rsidR="00593005" w:rsidRPr="00F017AA">
              <w:rPr>
                <w:rStyle w:val="a7"/>
                <w:color w:val="0679EE" w:themeColor="hyperlink" w:themeTint="D9"/>
              </w:rPr>
              <w:t>Reference List</w:t>
            </w:r>
            <w:r w:rsidR="00593005">
              <w:rPr>
                <w:webHidden/>
              </w:rPr>
              <w:tab/>
            </w:r>
          </w:hyperlink>
          <w:r w:rsidR="005E6BF9">
            <w:t>14</w:t>
          </w:r>
        </w:p>
        <w:p w:rsidR="00BF1DE3" w:rsidRDefault="00BF1DE3">
          <w:r w:rsidRPr="00BF1DE3">
            <w:rPr>
              <w:b/>
              <w:bCs/>
              <w:noProof/>
              <w:color w:val="262626" w:themeColor="text1" w:themeTint="D9"/>
            </w:rPr>
            <w:fldChar w:fldCharType="end"/>
          </w:r>
        </w:p>
      </w:sdtContent>
    </w:sdt>
    <w:p w:rsidR="005C623A" w:rsidRDefault="005C623A" w:rsidP="00BF1DE3">
      <w:pPr>
        <w:spacing w:line="360" w:lineRule="auto"/>
      </w:pPr>
      <w:r>
        <w:br w:type="page"/>
      </w:r>
    </w:p>
    <w:p w:rsidR="005C623A" w:rsidRPr="005C623A" w:rsidRDefault="005C623A" w:rsidP="00BF1DE3">
      <w:pPr>
        <w:pStyle w:val="1"/>
        <w:pBdr>
          <w:bottom w:val="single" w:sz="4" w:space="2" w:color="5B9BD5" w:themeColor="accent1"/>
        </w:pBdr>
        <w:spacing w:line="276" w:lineRule="auto"/>
        <w:rPr>
          <w:color w:val="5B9BD5" w:themeColor="accent1"/>
          <w:sz w:val="44"/>
        </w:rPr>
      </w:pPr>
      <w:bookmarkStart w:id="0" w:name="_Toc420625238"/>
      <w:r w:rsidRPr="005C623A">
        <w:rPr>
          <w:color w:val="5B9BD5" w:themeColor="accent1"/>
          <w:sz w:val="44"/>
        </w:rPr>
        <w:lastRenderedPageBreak/>
        <w:t>Prospective</w:t>
      </w:r>
      <w:r w:rsidRPr="005C623A">
        <w:rPr>
          <w:color w:val="5B9BD5" w:themeColor="accent1"/>
        </w:rPr>
        <w:t xml:space="preserve"> </w:t>
      </w:r>
      <w:r w:rsidRPr="005C623A">
        <w:rPr>
          <w:color w:val="5B9BD5" w:themeColor="accent1"/>
          <w:sz w:val="44"/>
        </w:rPr>
        <w:t>Analysis</w:t>
      </w:r>
      <w:bookmarkEnd w:id="0"/>
    </w:p>
    <w:p w:rsidR="00757988" w:rsidRDefault="00084896" w:rsidP="00593005">
      <w:pPr>
        <w:pStyle w:val="2"/>
      </w:pPr>
      <w:r>
        <w:rPr>
          <w:rFonts w:eastAsiaTheme="minorHAnsi"/>
          <w:b w:val="0"/>
          <w:i w:val="0"/>
          <w:sz w:val="24"/>
        </w:rPr>
        <w:br/>
        <w:t>In the prospective analysis for this report, a forecast over the next 5 financial years of Fairfax Media will be conducted. The key elements of the income statement and balance sheet will be forecasted, and the assumptions behind these will be discussed. Finally, an estimation of the share price for Fairfax Media will be calculated using two different valuation methods, including a sensitivity analysis for both of these.</w:t>
      </w:r>
      <w:r w:rsidR="00757988">
        <w:rPr>
          <w:rFonts w:eastAsiaTheme="minorHAnsi"/>
          <w:b w:val="0"/>
          <w:i w:val="0"/>
          <w:sz w:val="24"/>
        </w:rPr>
        <w:t xml:space="preserve"> All figures from the income statement and balance sheet are (‘000).</w:t>
      </w:r>
      <w:bookmarkStart w:id="1" w:name="_Toc420625239"/>
    </w:p>
    <w:p w:rsidR="00CA1414" w:rsidRPr="00757988" w:rsidRDefault="00CA1414" w:rsidP="00593005">
      <w:pPr>
        <w:pStyle w:val="2"/>
        <w:rPr>
          <w:rFonts w:eastAsiaTheme="minorHAnsi"/>
          <w:b w:val="0"/>
          <w:i w:val="0"/>
          <w:sz w:val="24"/>
        </w:rPr>
      </w:pPr>
      <w:r w:rsidRPr="00593005">
        <w:t>Forecast</w:t>
      </w:r>
      <w:r w:rsidRPr="00BF1DE3">
        <w:t>:</w:t>
      </w:r>
      <w:bookmarkEnd w:id="1"/>
    </w:p>
    <w:p w:rsidR="00593005" w:rsidRPr="005B6039" w:rsidRDefault="00593005" w:rsidP="00593005">
      <w:pPr>
        <w:pStyle w:val="3"/>
        <w:rPr>
          <w:sz w:val="28"/>
        </w:rPr>
      </w:pPr>
      <w:bookmarkStart w:id="2" w:name="_Toc420625240"/>
      <w:r w:rsidRPr="005B6039">
        <w:rPr>
          <w:sz w:val="28"/>
        </w:rPr>
        <w:t>Key elements</w:t>
      </w:r>
      <w:bookmarkEnd w:id="2"/>
    </w:p>
    <w:tbl>
      <w:tblPr>
        <w:tblW w:w="8926" w:type="dxa"/>
        <w:tblLayout w:type="fixed"/>
        <w:tblLook w:val="04A0" w:firstRow="1" w:lastRow="0" w:firstColumn="1" w:lastColumn="0" w:noHBand="0" w:noVBand="1"/>
      </w:tblPr>
      <w:tblGrid>
        <w:gridCol w:w="2547"/>
        <w:gridCol w:w="1276"/>
        <w:gridCol w:w="1275"/>
        <w:gridCol w:w="1276"/>
        <w:gridCol w:w="1276"/>
        <w:gridCol w:w="1276"/>
      </w:tblGrid>
      <w:tr w:rsidR="00957916" w:rsidRPr="00957916" w:rsidTr="00781B94">
        <w:trPr>
          <w:trHeight w:val="568"/>
        </w:trPr>
        <w:tc>
          <w:tcPr>
            <w:tcW w:w="2547" w:type="dxa"/>
            <w:tcBorders>
              <w:top w:val="single" w:sz="4" w:space="0" w:color="auto"/>
              <w:left w:val="single" w:sz="4" w:space="0" w:color="auto"/>
              <w:bottom w:val="single" w:sz="4" w:space="0" w:color="000000"/>
              <w:right w:val="nil"/>
            </w:tcBorders>
            <w:shd w:val="clear" w:color="FFFF00" w:fill="FFFF00"/>
            <w:vAlign w:val="center"/>
            <w:hideMark/>
          </w:tcPr>
          <w:p w:rsidR="00957916" w:rsidRPr="00957916" w:rsidRDefault="00957916" w:rsidP="00781B94">
            <w:pPr>
              <w:spacing w:after="0" w:line="240" w:lineRule="auto"/>
              <w:rPr>
                <w:rFonts w:ascii="Calibri" w:eastAsia="Times New Roman" w:hAnsi="Calibri" w:cs="Arial"/>
                <w:b/>
                <w:bCs/>
                <w:color w:val="000000"/>
                <w:sz w:val="21"/>
                <w:szCs w:val="21"/>
                <w:lang w:eastAsia="en-AU"/>
              </w:rPr>
            </w:pPr>
            <w:r w:rsidRPr="00957916">
              <w:rPr>
                <w:rFonts w:ascii="Calibri" w:eastAsia="Times New Roman" w:hAnsi="Calibri" w:cs="Arial"/>
                <w:b/>
                <w:bCs/>
                <w:color w:val="000000"/>
                <w:sz w:val="21"/>
                <w:szCs w:val="21"/>
                <w:lang w:eastAsia="en-AU"/>
              </w:rPr>
              <w:t>Key Items of Income Statement</w:t>
            </w:r>
          </w:p>
        </w:tc>
        <w:tc>
          <w:tcPr>
            <w:tcW w:w="1276" w:type="dxa"/>
            <w:tcBorders>
              <w:top w:val="single" w:sz="4" w:space="0" w:color="auto"/>
              <w:left w:val="nil"/>
              <w:bottom w:val="single" w:sz="4" w:space="0" w:color="000000"/>
              <w:right w:val="nil"/>
            </w:tcBorders>
            <w:shd w:val="clear" w:color="FFFF00" w:fill="FFFF00"/>
            <w:noWrap/>
            <w:vAlign w:val="center"/>
            <w:hideMark/>
          </w:tcPr>
          <w:p w:rsidR="00957916" w:rsidRPr="00957916" w:rsidRDefault="00957916" w:rsidP="00957916">
            <w:pPr>
              <w:spacing w:after="0" w:line="240" w:lineRule="auto"/>
              <w:jc w:val="center"/>
              <w:rPr>
                <w:rFonts w:ascii="Calibri" w:eastAsia="Times New Roman" w:hAnsi="Calibri" w:cs="Arial"/>
                <w:b/>
                <w:bCs/>
                <w:color w:val="000000"/>
                <w:sz w:val="21"/>
                <w:szCs w:val="21"/>
                <w:lang w:eastAsia="en-AU"/>
              </w:rPr>
            </w:pPr>
            <w:r w:rsidRPr="00957916">
              <w:rPr>
                <w:rFonts w:ascii="Calibri" w:eastAsia="Times New Roman" w:hAnsi="Calibri" w:cs="Arial"/>
                <w:b/>
                <w:bCs/>
                <w:color w:val="000000"/>
                <w:sz w:val="21"/>
                <w:szCs w:val="21"/>
                <w:lang w:eastAsia="en-AU"/>
              </w:rPr>
              <w:t>2015F</w:t>
            </w:r>
          </w:p>
        </w:tc>
        <w:tc>
          <w:tcPr>
            <w:tcW w:w="1275" w:type="dxa"/>
            <w:tcBorders>
              <w:top w:val="single" w:sz="4" w:space="0" w:color="auto"/>
              <w:left w:val="nil"/>
              <w:bottom w:val="single" w:sz="4" w:space="0" w:color="000000"/>
              <w:right w:val="nil"/>
            </w:tcBorders>
            <w:shd w:val="clear" w:color="FFFF00" w:fill="FFFF00"/>
            <w:noWrap/>
            <w:vAlign w:val="center"/>
            <w:hideMark/>
          </w:tcPr>
          <w:p w:rsidR="00957916" w:rsidRPr="00957916" w:rsidRDefault="00957916" w:rsidP="00957916">
            <w:pPr>
              <w:spacing w:after="0" w:line="240" w:lineRule="auto"/>
              <w:jc w:val="center"/>
              <w:rPr>
                <w:rFonts w:ascii="Calibri" w:eastAsia="Times New Roman" w:hAnsi="Calibri" w:cs="Arial"/>
                <w:b/>
                <w:bCs/>
                <w:color w:val="000000"/>
                <w:sz w:val="21"/>
                <w:szCs w:val="21"/>
                <w:lang w:eastAsia="en-AU"/>
              </w:rPr>
            </w:pPr>
            <w:r w:rsidRPr="00957916">
              <w:rPr>
                <w:rFonts w:ascii="Calibri" w:eastAsia="Times New Roman" w:hAnsi="Calibri" w:cs="Arial"/>
                <w:b/>
                <w:bCs/>
                <w:color w:val="000000"/>
                <w:sz w:val="21"/>
                <w:szCs w:val="21"/>
                <w:lang w:eastAsia="en-AU"/>
              </w:rPr>
              <w:t>2016F</w:t>
            </w:r>
          </w:p>
        </w:tc>
        <w:tc>
          <w:tcPr>
            <w:tcW w:w="1276" w:type="dxa"/>
            <w:tcBorders>
              <w:top w:val="single" w:sz="4" w:space="0" w:color="auto"/>
              <w:left w:val="nil"/>
              <w:bottom w:val="single" w:sz="4" w:space="0" w:color="000000"/>
              <w:right w:val="nil"/>
            </w:tcBorders>
            <w:shd w:val="clear" w:color="FFFF00" w:fill="FFFF00"/>
            <w:noWrap/>
            <w:vAlign w:val="center"/>
            <w:hideMark/>
          </w:tcPr>
          <w:p w:rsidR="00957916" w:rsidRPr="00957916" w:rsidRDefault="00957916" w:rsidP="00957916">
            <w:pPr>
              <w:spacing w:after="0" w:line="240" w:lineRule="auto"/>
              <w:jc w:val="center"/>
              <w:rPr>
                <w:rFonts w:ascii="Calibri" w:eastAsia="Times New Roman" w:hAnsi="Calibri" w:cs="Arial"/>
                <w:b/>
                <w:bCs/>
                <w:color w:val="000000"/>
                <w:sz w:val="21"/>
                <w:szCs w:val="21"/>
                <w:lang w:eastAsia="en-AU"/>
              </w:rPr>
            </w:pPr>
            <w:r w:rsidRPr="00957916">
              <w:rPr>
                <w:rFonts w:ascii="Calibri" w:eastAsia="Times New Roman" w:hAnsi="Calibri" w:cs="Arial"/>
                <w:b/>
                <w:bCs/>
                <w:color w:val="000000"/>
                <w:sz w:val="21"/>
                <w:szCs w:val="21"/>
                <w:lang w:eastAsia="en-AU"/>
              </w:rPr>
              <w:t>2017F</w:t>
            </w:r>
          </w:p>
        </w:tc>
        <w:tc>
          <w:tcPr>
            <w:tcW w:w="1276" w:type="dxa"/>
            <w:tcBorders>
              <w:top w:val="single" w:sz="4" w:space="0" w:color="auto"/>
              <w:left w:val="nil"/>
              <w:bottom w:val="single" w:sz="4" w:space="0" w:color="000000"/>
              <w:right w:val="nil"/>
            </w:tcBorders>
            <w:shd w:val="clear" w:color="FFFF00" w:fill="FFFF00"/>
            <w:noWrap/>
            <w:vAlign w:val="center"/>
            <w:hideMark/>
          </w:tcPr>
          <w:p w:rsidR="00957916" w:rsidRPr="00957916" w:rsidRDefault="00957916" w:rsidP="00957916">
            <w:pPr>
              <w:spacing w:after="0" w:line="240" w:lineRule="auto"/>
              <w:jc w:val="center"/>
              <w:rPr>
                <w:rFonts w:ascii="Calibri" w:eastAsia="Times New Roman" w:hAnsi="Calibri" w:cs="Arial"/>
                <w:b/>
                <w:bCs/>
                <w:color w:val="000000"/>
                <w:sz w:val="21"/>
                <w:szCs w:val="21"/>
                <w:lang w:eastAsia="en-AU"/>
              </w:rPr>
            </w:pPr>
            <w:r w:rsidRPr="00957916">
              <w:rPr>
                <w:rFonts w:ascii="Calibri" w:eastAsia="Times New Roman" w:hAnsi="Calibri" w:cs="Arial"/>
                <w:b/>
                <w:bCs/>
                <w:color w:val="000000"/>
                <w:sz w:val="21"/>
                <w:szCs w:val="21"/>
                <w:lang w:eastAsia="en-AU"/>
              </w:rPr>
              <w:t>2018F</w:t>
            </w:r>
          </w:p>
        </w:tc>
        <w:tc>
          <w:tcPr>
            <w:tcW w:w="1276" w:type="dxa"/>
            <w:tcBorders>
              <w:top w:val="single" w:sz="4" w:space="0" w:color="auto"/>
              <w:left w:val="nil"/>
              <w:bottom w:val="single" w:sz="4" w:space="0" w:color="000000"/>
              <w:right w:val="single" w:sz="4" w:space="0" w:color="auto"/>
            </w:tcBorders>
            <w:shd w:val="clear" w:color="FFFF00" w:fill="FFFF00"/>
            <w:noWrap/>
            <w:vAlign w:val="center"/>
            <w:hideMark/>
          </w:tcPr>
          <w:p w:rsidR="00957916" w:rsidRPr="00957916" w:rsidRDefault="00957916" w:rsidP="00957916">
            <w:pPr>
              <w:spacing w:after="0" w:line="240" w:lineRule="auto"/>
              <w:jc w:val="center"/>
              <w:rPr>
                <w:rFonts w:ascii="Calibri" w:eastAsia="Times New Roman" w:hAnsi="Calibri" w:cs="Arial"/>
                <w:b/>
                <w:bCs/>
                <w:color w:val="000000"/>
                <w:sz w:val="21"/>
                <w:szCs w:val="21"/>
                <w:lang w:eastAsia="en-AU"/>
              </w:rPr>
            </w:pPr>
            <w:r w:rsidRPr="00957916">
              <w:rPr>
                <w:rFonts w:ascii="Calibri" w:eastAsia="Times New Roman" w:hAnsi="Calibri" w:cs="Arial"/>
                <w:b/>
                <w:bCs/>
                <w:color w:val="000000"/>
                <w:sz w:val="21"/>
                <w:szCs w:val="21"/>
                <w:lang w:eastAsia="en-AU"/>
              </w:rPr>
              <w:t>2019F</w:t>
            </w:r>
          </w:p>
        </w:tc>
      </w:tr>
      <w:tr w:rsidR="00957916" w:rsidRPr="00957916" w:rsidTr="00957916">
        <w:trPr>
          <w:trHeight w:val="375"/>
        </w:trPr>
        <w:tc>
          <w:tcPr>
            <w:tcW w:w="2547" w:type="dxa"/>
            <w:tcBorders>
              <w:top w:val="nil"/>
              <w:left w:val="single" w:sz="4" w:space="0" w:color="auto"/>
              <w:bottom w:val="nil"/>
              <w:right w:val="nil"/>
            </w:tcBorders>
            <w:shd w:val="clear" w:color="DEEBF7" w:fill="DEEBF7"/>
            <w:vAlign w:val="center"/>
            <w:hideMark/>
          </w:tcPr>
          <w:p w:rsidR="00957916" w:rsidRPr="00957916" w:rsidRDefault="00957916" w:rsidP="00957916">
            <w:pPr>
              <w:spacing w:after="0" w:line="240" w:lineRule="auto"/>
              <w:rPr>
                <w:rFonts w:ascii="Calibri" w:eastAsia="Times New Roman" w:hAnsi="Calibri" w:cs="Arial"/>
                <w:b/>
                <w:bCs/>
                <w:color w:val="000000"/>
                <w:sz w:val="21"/>
                <w:szCs w:val="21"/>
                <w:lang w:eastAsia="en-AU"/>
              </w:rPr>
            </w:pPr>
            <w:r w:rsidRPr="00957916">
              <w:rPr>
                <w:rFonts w:ascii="Calibri" w:eastAsia="Times New Roman" w:hAnsi="Calibri" w:cs="Arial"/>
                <w:b/>
                <w:bCs/>
                <w:color w:val="000000"/>
                <w:sz w:val="21"/>
                <w:szCs w:val="21"/>
                <w:lang w:eastAsia="en-AU"/>
              </w:rPr>
              <w:t>Sales growth</w:t>
            </w:r>
          </w:p>
        </w:tc>
        <w:tc>
          <w:tcPr>
            <w:tcW w:w="1276" w:type="dxa"/>
            <w:tcBorders>
              <w:top w:val="nil"/>
              <w:left w:val="nil"/>
              <w:bottom w:val="nil"/>
              <w:right w:val="nil"/>
            </w:tcBorders>
            <w:shd w:val="clear" w:color="DEEBF7" w:fill="DEEBF7"/>
            <w:noWrap/>
            <w:vAlign w:val="center"/>
            <w:hideMark/>
          </w:tcPr>
          <w:p w:rsidR="00957916" w:rsidRPr="00957916" w:rsidRDefault="00957916" w:rsidP="00957916">
            <w:pPr>
              <w:spacing w:after="0" w:line="240" w:lineRule="auto"/>
              <w:jc w:val="right"/>
              <w:rPr>
                <w:rFonts w:ascii="Calibri" w:eastAsia="Times New Roman" w:hAnsi="Calibri" w:cs="Arial"/>
                <w:bCs/>
                <w:color w:val="000000"/>
                <w:sz w:val="21"/>
                <w:szCs w:val="21"/>
                <w:lang w:eastAsia="en-AU"/>
              </w:rPr>
            </w:pPr>
            <w:r w:rsidRPr="00957916">
              <w:rPr>
                <w:rFonts w:ascii="Calibri" w:eastAsia="Times New Roman" w:hAnsi="Calibri" w:cs="Arial"/>
                <w:bCs/>
                <w:color w:val="000000"/>
                <w:sz w:val="21"/>
                <w:szCs w:val="21"/>
                <w:lang w:eastAsia="en-AU"/>
              </w:rPr>
              <w:t>-2.0%</w:t>
            </w:r>
          </w:p>
        </w:tc>
        <w:tc>
          <w:tcPr>
            <w:tcW w:w="1275" w:type="dxa"/>
            <w:tcBorders>
              <w:top w:val="nil"/>
              <w:left w:val="nil"/>
              <w:bottom w:val="nil"/>
              <w:right w:val="nil"/>
            </w:tcBorders>
            <w:shd w:val="clear" w:color="DEEBF7" w:fill="DEEBF7"/>
            <w:noWrap/>
            <w:vAlign w:val="center"/>
            <w:hideMark/>
          </w:tcPr>
          <w:p w:rsidR="00957916" w:rsidRPr="00957916" w:rsidRDefault="00957916" w:rsidP="00957916">
            <w:pPr>
              <w:spacing w:after="0" w:line="240" w:lineRule="auto"/>
              <w:jc w:val="right"/>
              <w:rPr>
                <w:rFonts w:ascii="Calibri" w:eastAsia="Times New Roman" w:hAnsi="Calibri" w:cs="Arial"/>
                <w:bCs/>
                <w:color w:val="000000"/>
                <w:sz w:val="21"/>
                <w:szCs w:val="21"/>
                <w:lang w:eastAsia="en-AU"/>
              </w:rPr>
            </w:pPr>
            <w:r w:rsidRPr="00957916">
              <w:rPr>
                <w:rFonts w:ascii="Calibri" w:eastAsia="Times New Roman" w:hAnsi="Calibri" w:cs="Arial"/>
                <w:bCs/>
                <w:color w:val="000000"/>
                <w:sz w:val="21"/>
                <w:szCs w:val="21"/>
                <w:lang w:eastAsia="en-AU"/>
              </w:rPr>
              <w:t>-0.4%</w:t>
            </w:r>
          </w:p>
        </w:tc>
        <w:tc>
          <w:tcPr>
            <w:tcW w:w="1276" w:type="dxa"/>
            <w:tcBorders>
              <w:top w:val="nil"/>
              <w:left w:val="nil"/>
              <w:bottom w:val="nil"/>
              <w:right w:val="nil"/>
            </w:tcBorders>
            <w:shd w:val="clear" w:color="DEEBF7" w:fill="DEEBF7"/>
            <w:noWrap/>
            <w:vAlign w:val="center"/>
            <w:hideMark/>
          </w:tcPr>
          <w:p w:rsidR="00957916" w:rsidRPr="00957916" w:rsidRDefault="00957916" w:rsidP="00957916">
            <w:pPr>
              <w:spacing w:after="0" w:line="240" w:lineRule="auto"/>
              <w:jc w:val="right"/>
              <w:rPr>
                <w:rFonts w:ascii="Calibri" w:eastAsia="Times New Roman" w:hAnsi="Calibri" w:cs="Arial"/>
                <w:bCs/>
                <w:color w:val="000000"/>
                <w:sz w:val="21"/>
                <w:szCs w:val="21"/>
                <w:lang w:eastAsia="en-AU"/>
              </w:rPr>
            </w:pPr>
            <w:r w:rsidRPr="00957916">
              <w:rPr>
                <w:rFonts w:ascii="Calibri" w:eastAsia="Times New Roman" w:hAnsi="Calibri" w:cs="Arial"/>
                <w:bCs/>
                <w:color w:val="000000"/>
                <w:sz w:val="21"/>
                <w:szCs w:val="21"/>
                <w:lang w:eastAsia="en-AU"/>
              </w:rPr>
              <w:t>1.8%</w:t>
            </w:r>
          </w:p>
        </w:tc>
        <w:tc>
          <w:tcPr>
            <w:tcW w:w="1276" w:type="dxa"/>
            <w:tcBorders>
              <w:top w:val="nil"/>
              <w:left w:val="nil"/>
              <w:bottom w:val="nil"/>
              <w:right w:val="nil"/>
            </w:tcBorders>
            <w:shd w:val="clear" w:color="DEEBF7" w:fill="DEEBF7"/>
            <w:noWrap/>
            <w:vAlign w:val="center"/>
            <w:hideMark/>
          </w:tcPr>
          <w:p w:rsidR="00957916" w:rsidRPr="00957916" w:rsidRDefault="00957916" w:rsidP="00957916">
            <w:pPr>
              <w:spacing w:after="0" w:line="240" w:lineRule="auto"/>
              <w:jc w:val="right"/>
              <w:rPr>
                <w:rFonts w:ascii="Calibri" w:eastAsia="Times New Roman" w:hAnsi="Calibri" w:cs="Arial"/>
                <w:bCs/>
                <w:color w:val="000000"/>
                <w:sz w:val="21"/>
                <w:szCs w:val="21"/>
                <w:lang w:eastAsia="en-AU"/>
              </w:rPr>
            </w:pPr>
            <w:r w:rsidRPr="00957916">
              <w:rPr>
                <w:rFonts w:ascii="Calibri" w:eastAsia="Times New Roman" w:hAnsi="Calibri" w:cs="Arial"/>
                <w:bCs/>
                <w:color w:val="000000"/>
                <w:sz w:val="21"/>
                <w:szCs w:val="21"/>
                <w:lang w:eastAsia="en-AU"/>
              </w:rPr>
              <w:t>3.2%</w:t>
            </w:r>
          </w:p>
        </w:tc>
        <w:tc>
          <w:tcPr>
            <w:tcW w:w="1276" w:type="dxa"/>
            <w:tcBorders>
              <w:top w:val="nil"/>
              <w:left w:val="nil"/>
              <w:bottom w:val="nil"/>
              <w:right w:val="single" w:sz="4" w:space="0" w:color="auto"/>
            </w:tcBorders>
            <w:shd w:val="clear" w:color="DEEBF7" w:fill="DEEBF7"/>
            <w:noWrap/>
            <w:vAlign w:val="center"/>
            <w:hideMark/>
          </w:tcPr>
          <w:p w:rsidR="00957916" w:rsidRPr="00957916" w:rsidRDefault="00957916" w:rsidP="00957916">
            <w:pPr>
              <w:spacing w:after="0" w:line="240" w:lineRule="auto"/>
              <w:jc w:val="right"/>
              <w:rPr>
                <w:rFonts w:ascii="Calibri" w:eastAsia="Times New Roman" w:hAnsi="Calibri" w:cs="Arial"/>
                <w:bCs/>
                <w:color w:val="000000"/>
                <w:sz w:val="21"/>
                <w:szCs w:val="21"/>
                <w:lang w:eastAsia="en-AU"/>
              </w:rPr>
            </w:pPr>
            <w:r w:rsidRPr="00957916">
              <w:rPr>
                <w:rFonts w:ascii="Calibri" w:eastAsia="Times New Roman" w:hAnsi="Calibri" w:cs="Arial"/>
                <w:bCs/>
                <w:color w:val="000000"/>
                <w:sz w:val="21"/>
                <w:szCs w:val="21"/>
                <w:lang w:eastAsia="en-AU"/>
              </w:rPr>
              <w:t>4.8%</w:t>
            </w:r>
          </w:p>
        </w:tc>
      </w:tr>
      <w:tr w:rsidR="00957916" w:rsidRPr="00957916" w:rsidTr="00957916">
        <w:trPr>
          <w:trHeight w:val="375"/>
        </w:trPr>
        <w:tc>
          <w:tcPr>
            <w:tcW w:w="2547" w:type="dxa"/>
            <w:tcBorders>
              <w:top w:val="nil"/>
              <w:left w:val="single" w:sz="4" w:space="0" w:color="auto"/>
              <w:bottom w:val="nil"/>
              <w:right w:val="nil"/>
            </w:tcBorders>
            <w:shd w:val="clear" w:color="auto" w:fill="auto"/>
            <w:noWrap/>
            <w:vAlign w:val="center"/>
            <w:hideMark/>
          </w:tcPr>
          <w:p w:rsidR="00957916" w:rsidRPr="00957916" w:rsidRDefault="00957916" w:rsidP="00957916">
            <w:pPr>
              <w:spacing w:after="0" w:line="240" w:lineRule="auto"/>
              <w:rPr>
                <w:rFonts w:ascii="Calibri" w:eastAsia="Times New Roman" w:hAnsi="Calibri" w:cs="Arial"/>
                <w:b/>
                <w:bCs/>
                <w:color w:val="000000"/>
                <w:sz w:val="21"/>
                <w:szCs w:val="21"/>
                <w:lang w:eastAsia="en-AU"/>
              </w:rPr>
            </w:pPr>
            <w:r w:rsidRPr="00957916">
              <w:rPr>
                <w:rFonts w:ascii="Calibri" w:eastAsia="Times New Roman" w:hAnsi="Calibri" w:cs="Arial"/>
                <w:b/>
                <w:bCs/>
                <w:color w:val="000000"/>
                <w:sz w:val="21"/>
                <w:szCs w:val="21"/>
                <w:lang w:eastAsia="en-AU"/>
              </w:rPr>
              <w:t>Gross margin</w:t>
            </w:r>
          </w:p>
        </w:tc>
        <w:tc>
          <w:tcPr>
            <w:tcW w:w="1276" w:type="dxa"/>
            <w:tcBorders>
              <w:top w:val="nil"/>
              <w:left w:val="nil"/>
              <w:bottom w:val="nil"/>
              <w:right w:val="nil"/>
            </w:tcBorders>
            <w:shd w:val="clear" w:color="auto" w:fill="auto"/>
            <w:noWrap/>
            <w:vAlign w:val="center"/>
            <w:hideMark/>
          </w:tcPr>
          <w:p w:rsidR="00957916" w:rsidRPr="00957916" w:rsidRDefault="00957916" w:rsidP="00957916">
            <w:pPr>
              <w:spacing w:after="0" w:line="240" w:lineRule="auto"/>
              <w:jc w:val="right"/>
              <w:rPr>
                <w:rFonts w:ascii="Calibri" w:eastAsia="Times New Roman" w:hAnsi="Calibri" w:cs="Arial"/>
                <w:bCs/>
                <w:color w:val="000000"/>
                <w:sz w:val="21"/>
                <w:szCs w:val="21"/>
                <w:lang w:eastAsia="en-AU"/>
              </w:rPr>
            </w:pPr>
            <w:r w:rsidRPr="00957916">
              <w:rPr>
                <w:rFonts w:ascii="Calibri" w:eastAsia="Times New Roman" w:hAnsi="Calibri" w:cs="Arial"/>
                <w:bCs/>
                <w:color w:val="000000"/>
                <w:sz w:val="21"/>
                <w:szCs w:val="21"/>
                <w:lang w:eastAsia="en-AU"/>
              </w:rPr>
              <w:t>85.1%</w:t>
            </w:r>
          </w:p>
        </w:tc>
        <w:tc>
          <w:tcPr>
            <w:tcW w:w="1275" w:type="dxa"/>
            <w:tcBorders>
              <w:top w:val="nil"/>
              <w:left w:val="nil"/>
              <w:bottom w:val="nil"/>
              <w:right w:val="nil"/>
            </w:tcBorders>
            <w:shd w:val="clear" w:color="auto" w:fill="auto"/>
            <w:noWrap/>
            <w:vAlign w:val="center"/>
            <w:hideMark/>
          </w:tcPr>
          <w:p w:rsidR="00957916" w:rsidRPr="00957916" w:rsidRDefault="00957916" w:rsidP="00957916">
            <w:pPr>
              <w:spacing w:after="0" w:line="240" w:lineRule="auto"/>
              <w:jc w:val="right"/>
              <w:rPr>
                <w:rFonts w:ascii="Calibri" w:eastAsia="Times New Roman" w:hAnsi="Calibri" w:cs="Arial"/>
                <w:bCs/>
                <w:color w:val="000000"/>
                <w:sz w:val="21"/>
                <w:szCs w:val="21"/>
                <w:lang w:eastAsia="en-AU"/>
              </w:rPr>
            </w:pPr>
            <w:r w:rsidRPr="00957916">
              <w:rPr>
                <w:rFonts w:ascii="Calibri" w:eastAsia="Times New Roman" w:hAnsi="Calibri" w:cs="Arial"/>
                <w:bCs/>
                <w:color w:val="000000"/>
                <w:sz w:val="21"/>
                <w:szCs w:val="21"/>
                <w:lang w:eastAsia="en-AU"/>
              </w:rPr>
              <w:t>86.2%</w:t>
            </w:r>
          </w:p>
        </w:tc>
        <w:tc>
          <w:tcPr>
            <w:tcW w:w="1276" w:type="dxa"/>
            <w:tcBorders>
              <w:top w:val="nil"/>
              <w:left w:val="nil"/>
              <w:bottom w:val="nil"/>
              <w:right w:val="nil"/>
            </w:tcBorders>
            <w:shd w:val="clear" w:color="auto" w:fill="auto"/>
            <w:noWrap/>
            <w:vAlign w:val="center"/>
            <w:hideMark/>
          </w:tcPr>
          <w:p w:rsidR="00957916" w:rsidRPr="00957916" w:rsidRDefault="00957916" w:rsidP="00957916">
            <w:pPr>
              <w:spacing w:after="0" w:line="240" w:lineRule="auto"/>
              <w:jc w:val="right"/>
              <w:rPr>
                <w:rFonts w:ascii="Calibri" w:eastAsia="Times New Roman" w:hAnsi="Calibri" w:cs="Arial"/>
                <w:bCs/>
                <w:color w:val="000000"/>
                <w:sz w:val="21"/>
                <w:szCs w:val="21"/>
                <w:lang w:eastAsia="en-AU"/>
              </w:rPr>
            </w:pPr>
            <w:r w:rsidRPr="00957916">
              <w:rPr>
                <w:rFonts w:ascii="Calibri" w:eastAsia="Times New Roman" w:hAnsi="Calibri" w:cs="Arial"/>
                <w:bCs/>
                <w:color w:val="000000"/>
                <w:sz w:val="21"/>
                <w:szCs w:val="21"/>
                <w:lang w:eastAsia="en-AU"/>
              </w:rPr>
              <w:t>86.5%</w:t>
            </w:r>
          </w:p>
        </w:tc>
        <w:tc>
          <w:tcPr>
            <w:tcW w:w="1276" w:type="dxa"/>
            <w:tcBorders>
              <w:top w:val="nil"/>
              <w:left w:val="nil"/>
              <w:bottom w:val="nil"/>
              <w:right w:val="nil"/>
            </w:tcBorders>
            <w:shd w:val="clear" w:color="auto" w:fill="auto"/>
            <w:noWrap/>
            <w:vAlign w:val="center"/>
            <w:hideMark/>
          </w:tcPr>
          <w:p w:rsidR="00957916" w:rsidRPr="00957916" w:rsidRDefault="00957916" w:rsidP="00957916">
            <w:pPr>
              <w:spacing w:after="0" w:line="240" w:lineRule="auto"/>
              <w:jc w:val="right"/>
              <w:rPr>
                <w:rFonts w:ascii="Calibri" w:eastAsia="Times New Roman" w:hAnsi="Calibri" w:cs="Arial"/>
                <w:bCs/>
                <w:color w:val="000000"/>
                <w:sz w:val="21"/>
                <w:szCs w:val="21"/>
                <w:lang w:eastAsia="en-AU"/>
              </w:rPr>
            </w:pPr>
            <w:r w:rsidRPr="00957916">
              <w:rPr>
                <w:rFonts w:ascii="Calibri" w:eastAsia="Times New Roman" w:hAnsi="Calibri" w:cs="Arial"/>
                <w:bCs/>
                <w:color w:val="000000"/>
                <w:sz w:val="21"/>
                <w:szCs w:val="21"/>
                <w:lang w:eastAsia="en-AU"/>
              </w:rPr>
              <w:t>87.0%</w:t>
            </w:r>
          </w:p>
        </w:tc>
        <w:tc>
          <w:tcPr>
            <w:tcW w:w="1276" w:type="dxa"/>
            <w:tcBorders>
              <w:top w:val="nil"/>
              <w:left w:val="nil"/>
              <w:bottom w:val="nil"/>
              <w:right w:val="single" w:sz="4" w:space="0" w:color="auto"/>
            </w:tcBorders>
            <w:shd w:val="clear" w:color="auto" w:fill="auto"/>
            <w:noWrap/>
            <w:vAlign w:val="center"/>
            <w:hideMark/>
          </w:tcPr>
          <w:p w:rsidR="00957916" w:rsidRPr="00957916" w:rsidRDefault="00957916" w:rsidP="00957916">
            <w:pPr>
              <w:spacing w:after="0" w:line="240" w:lineRule="auto"/>
              <w:jc w:val="right"/>
              <w:rPr>
                <w:rFonts w:ascii="Calibri" w:eastAsia="Times New Roman" w:hAnsi="Calibri" w:cs="Arial"/>
                <w:bCs/>
                <w:color w:val="000000"/>
                <w:sz w:val="21"/>
                <w:szCs w:val="21"/>
                <w:lang w:eastAsia="en-AU"/>
              </w:rPr>
            </w:pPr>
            <w:r w:rsidRPr="00957916">
              <w:rPr>
                <w:rFonts w:ascii="Calibri" w:eastAsia="Times New Roman" w:hAnsi="Calibri" w:cs="Arial"/>
                <w:bCs/>
                <w:color w:val="000000"/>
                <w:sz w:val="21"/>
                <w:szCs w:val="21"/>
                <w:lang w:eastAsia="en-AU"/>
              </w:rPr>
              <w:t>87.5%</w:t>
            </w:r>
          </w:p>
        </w:tc>
      </w:tr>
      <w:tr w:rsidR="00957916" w:rsidRPr="00957916" w:rsidTr="00957916">
        <w:trPr>
          <w:trHeight w:val="630"/>
        </w:trPr>
        <w:tc>
          <w:tcPr>
            <w:tcW w:w="2547" w:type="dxa"/>
            <w:tcBorders>
              <w:top w:val="nil"/>
              <w:left w:val="single" w:sz="4" w:space="0" w:color="auto"/>
              <w:bottom w:val="nil"/>
              <w:right w:val="nil"/>
            </w:tcBorders>
            <w:shd w:val="clear" w:color="DEEBF7" w:fill="DEEBF7"/>
            <w:vAlign w:val="center"/>
            <w:hideMark/>
          </w:tcPr>
          <w:p w:rsidR="00957916" w:rsidRPr="00957916" w:rsidRDefault="00957916" w:rsidP="00957916">
            <w:pPr>
              <w:spacing w:after="0" w:line="240" w:lineRule="auto"/>
              <w:rPr>
                <w:rFonts w:ascii="Calibri" w:eastAsia="Times New Roman" w:hAnsi="Calibri" w:cs="Arial"/>
                <w:b/>
                <w:bCs/>
                <w:color w:val="000000"/>
                <w:sz w:val="21"/>
                <w:szCs w:val="21"/>
                <w:lang w:eastAsia="en-AU"/>
              </w:rPr>
            </w:pPr>
            <w:r w:rsidRPr="00957916">
              <w:rPr>
                <w:rFonts w:ascii="Calibri" w:eastAsia="Times New Roman" w:hAnsi="Calibri" w:cs="Arial"/>
                <w:b/>
                <w:bCs/>
                <w:color w:val="000000"/>
                <w:sz w:val="21"/>
                <w:szCs w:val="21"/>
                <w:lang w:eastAsia="en-AU"/>
              </w:rPr>
              <w:t>Depreciation expense to PPE</w:t>
            </w:r>
          </w:p>
        </w:tc>
        <w:tc>
          <w:tcPr>
            <w:tcW w:w="1276" w:type="dxa"/>
            <w:tcBorders>
              <w:top w:val="nil"/>
              <w:left w:val="nil"/>
              <w:bottom w:val="nil"/>
              <w:right w:val="nil"/>
            </w:tcBorders>
            <w:shd w:val="clear" w:color="DEEBF7" w:fill="DEEBF7"/>
            <w:noWrap/>
            <w:vAlign w:val="center"/>
            <w:hideMark/>
          </w:tcPr>
          <w:p w:rsidR="00957916" w:rsidRPr="00957916" w:rsidRDefault="00957916" w:rsidP="00957916">
            <w:pPr>
              <w:spacing w:after="0" w:line="240" w:lineRule="auto"/>
              <w:jc w:val="right"/>
              <w:rPr>
                <w:rFonts w:ascii="Calibri" w:eastAsia="Times New Roman" w:hAnsi="Calibri" w:cs="Arial"/>
                <w:bCs/>
                <w:color w:val="000000"/>
                <w:sz w:val="21"/>
                <w:szCs w:val="21"/>
                <w:lang w:eastAsia="en-AU"/>
              </w:rPr>
            </w:pPr>
            <w:r w:rsidRPr="00957916">
              <w:rPr>
                <w:rFonts w:ascii="Calibri" w:eastAsia="Times New Roman" w:hAnsi="Calibri" w:cs="Arial"/>
                <w:bCs/>
                <w:color w:val="000000"/>
                <w:sz w:val="21"/>
                <w:szCs w:val="21"/>
                <w:lang w:eastAsia="en-AU"/>
              </w:rPr>
              <w:t>23.0%</w:t>
            </w:r>
          </w:p>
        </w:tc>
        <w:tc>
          <w:tcPr>
            <w:tcW w:w="1275" w:type="dxa"/>
            <w:tcBorders>
              <w:top w:val="nil"/>
              <w:left w:val="nil"/>
              <w:bottom w:val="nil"/>
              <w:right w:val="nil"/>
            </w:tcBorders>
            <w:shd w:val="clear" w:color="DEEBF7" w:fill="DEEBF7"/>
            <w:noWrap/>
            <w:vAlign w:val="center"/>
            <w:hideMark/>
          </w:tcPr>
          <w:p w:rsidR="00957916" w:rsidRPr="00957916" w:rsidRDefault="00957916" w:rsidP="00957916">
            <w:pPr>
              <w:spacing w:after="0" w:line="240" w:lineRule="auto"/>
              <w:jc w:val="right"/>
              <w:rPr>
                <w:rFonts w:ascii="Calibri" w:eastAsia="Times New Roman" w:hAnsi="Calibri" w:cs="Arial"/>
                <w:bCs/>
                <w:color w:val="000000"/>
                <w:sz w:val="21"/>
                <w:szCs w:val="21"/>
                <w:lang w:eastAsia="en-AU"/>
              </w:rPr>
            </w:pPr>
            <w:r w:rsidRPr="00957916">
              <w:rPr>
                <w:rFonts w:ascii="Calibri" w:eastAsia="Times New Roman" w:hAnsi="Calibri" w:cs="Arial"/>
                <w:bCs/>
                <w:color w:val="000000"/>
                <w:sz w:val="21"/>
                <w:szCs w:val="21"/>
                <w:lang w:eastAsia="en-AU"/>
              </w:rPr>
              <w:t>23.0%</w:t>
            </w:r>
          </w:p>
        </w:tc>
        <w:tc>
          <w:tcPr>
            <w:tcW w:w="1276" w:type="dxa"/>
            <w:tcBorders>
              <w:top w:val="nil"/>
              <w:left w:val="nil"/>
              <w:bottom w:val="nil"/>
              <w:right w:val="nil"/>
            </w:tcBorders>
            <w:shd w:val="clear" w:color="DEEBF7" w:fill="DEEBF7"/>
            <w:noWrap/>
            <w:vAlign w:val="center"/>
            <w:hideMark/>
          </w:tcPr>
          <w:p w:rsidR="00957916" w:rsidRPr="00957916" w:rsidRDefault="00957916" w:rsidP="00957916">
            <w:pPr>
              <w:spacing w:after="0" w:line="240" w:lineRule="auto"/>
              <w:jc w:val="right"/>
              <w:rPr>
                <w:rFonts w:ascii="Calibri" w:eastAsia="Times New Roman" w:hAnsi="Calibri" w:cs="Arial"/>
                <w:bCs/>
                <w:color w:val="000000"/>
                <w:sz w:val="21"/>
                <w:szCs w:val="21"/>
                <w:lang w:eastAsia="en-AU"/>
              </w:rPr>
            </w:pPr>
            <w:r w:rsidRPr="00957916">
              <w:rPr>
                <w:rFonts w:ascii="Calibri" w:eastAsia="Times New Roman" w:hAnsi="Calibri" w:cs="Arial"/>
                <w:bCs/>
                <w:color w:val="000000"/>
                <w:sz w:val="21"/>
                <w:szCs w:val="21"/>
                <w:lang w:eastAsia="en-AU"/>
              </w:rPr>
              <w:t>23.0%</w:t>
            </w:r>
          </w:p>
        </w:tc>
        <w:tc>
          <w:tcPr>
            <w:tcW w:w="1276" w:type="dxa"/>
            <w:tcBorders>
              <w:top w:val="nil"/>
              <w:left w:val="nil"/>
              <w:bottom w:val="nil"/>
              <w:right w:val="nil"/>
            </w:tcBorders>
            <w:shd w:val="clear" w:color="DEEBF7" w:fill="DEEBF7"/>
            <w:noWrap/>
            <w:vAlign w:val="center"/>
            <w:hideMark/>
          </w:tcPr>
          <w:p w:rsidR="00957916" w:rsidRPr="00957916" w:rsidRDefault="00957916" w:rsidP="00957916">
            <w:pPr>
              <w:spacing w:after="0" w:line="240" w:lineRule="auto"/>
              <w:jc w:val="right"/>
              <w:rPr>
                <w:rFonts w:ascii="Calibri" w:eastAsia="Times New Roman" w:hAnsi="Calibri" w:cs="Arial"/>
                <w:bCs/>
                <w:color w:val="000000"/>
                <w:sz w:val="21"/>
                <w:szCs w:val="21"/>
                <w:lang w:eastAsia="en-AU"/>
              </w:rPr>
            </w:pPr>
            <w:r w:rsidRPr="00957916">
              <w:rPr>
                <w:rFonts w:ascii="Calibri" w:eastAsia="Times New Roman" w:hAnsi="Calibri" w:cs="Arial"/>
                <w:bCs/>
                <w:color w:val="000000"/>
                <w:sz w:val="21"/>
                <w:szCs w:val="21"/>
                <w:lang w:eastAsia="en-AU"/>
              </w:rPr>
              <w:t>23.0%</w:t>
            </w:r>
          </w:p>
        </w:tc>
        <w:tc>
          <w:tcPr>
            <w:tcW w:w="1276" w:type="dxa"/>
            <w:tcBorders>
              <w:top w:val="nil"/>
              <w:left w:val="nil"/>
              <w:bottom w:val="nil"/>
              <w:right w:val="single" w:sz="4" w:space="0" w:color="auto"/>
            </w:tcBorders>
            <w:shd w:val="clear" w:color="DEEBF7" w:fill="DEEBF7"/>
            <w:noWrap/>
            <w:vAlign w:val="center"/>
            <w:hideMark/>
          </w:tcPr>
          <w:p w:rsidR="00957916" w:rsidRPr="00957916" w:rsidRDefault="00957916" w:rsidP="00957916">
            <w:pPr>
              <w:spacing w:after="0" w:line="240" w:lineRule="auto"/>
              <w:jc w:val="right"/>
              <w:rPr>
                <w:rFonts w:ascii="Calibri" w:eastAsia="Times New Roman" w:hAnsi="Calibri" w:cs="Arial"/>
                <w:bCs/>
                <w:color w:val="000000"/>
                <w:sz w:val="21"/>
                <w:szCs w:val="21"/>
                <w:lang w:eastAsia="en-AU"/>
              </w:rPr>
            </w:pPr>
            <w:r w:rsidRPr="00957916">
              <w:rPr>
                <w:rFonts w:ascii="Calibri" w:eastAsia="Times New Roman" w:hAnsi="Calibri" w:cs="Arial"/>
                <w:bCs/>
                <w:color w:val="000000"/>
                <w:sz w:val="21"/>
                <w:szCs w:val="21"/>
                <w:lang w:eastAsia="en-AU"/>
              </w:rPr>
              <w:t>23.0%</w:t>
            </w:r>
          </w:p>
        </w:tc>
      </w:tr>
      <w:tr w:rsidR="00957916" w:rsidRPr="00957916" w:rsidTr="00957916">
        <w:trPr>
          <w:trHeight w:val="375"/>
        </w:trPr>
        <w:tc>
          <w:tcPr>
            <w:tcW w:w="2547" w:type="dxa"/>
            <w:tcBorders>
              <w:top w:val="nil"/>
              <w:left w:val="single" w:sz="4" w:space="0" w:color="auto"/>
              <w:bottom w:val="nil"/>
              <w:right w:val="nil"/>
            </w:tcBorders>
            <w:shd w:val="clear" w:color="auto" w:fill="auto"/>
            <w:noWrap/>
            <w:vAlign w:val="center"/>
            <w:hideMark/>
          </w:tcPr>
          <w:p w:rsidR="00957916" w:rsidRPr="00957916" w:rsidRDefault="00957916" w:rsidP="00957916">
            <w:pPr>
              <w:spacing w:after="0" w:line="240" w:lineRule="auto"/>
              <w:rPr>
                <w:rFonts w:ascii="Calibri" w:eastAsia="Times New Roman" w:hAnsi="Calibri" w:cs="Arial"/>
                <w:b/>
                <w:bCs/>
                <w:color w:val="000000"/>
                <w:sz w:val="21"/>
                <w:szCs w:val="21"/>
                <w:lang w:eastAsia="en-AU"/>
              </w:rPr>
            </w:pPr>
            <w:r w:rsidRPr="00957916">
              <w:rPr>
                <w:rFonts w:ascii="Calibri" w:eastAsia="Times New Roman" w:hAnsi="Calibri" w:cs="Arial"/>
                <w:b/>
                <w:bCs/>
                <w:color w:val="000000"/>
                <w:sz w:val="21"/>
                <w:szCs w:val="21"/>
                <w:lang w:eastAsia="en-AU"/>
              </w:rPr>
              <w:t>SG&amp;A expenses to sales</w:t>
            </w:r>
          </w:p>
        </w:tc>
        <w:tc>
          <w:tcPr>
            <w:tcW w:w="1276" w:type="dxa"/>
            <w:tcBorders>
              <w:top w:val="nil"/>
              <w:left w:val="nil"/>
              <w:bottom w:val="nil"/>
              <w:right w:val="nil"/>
            </w:tcBorders>
            <w:shd w:val="clear" w:color="auto" w:fill="auto"/>
            <w:noWrap/>
            <w:vAlign w:val="center"/>
            <w:hideMark/>
          </w:tcPr>
          <w:p w:rsidR="00957916" w:rsidRPr="00957916" w:rsidRDefault="00957916" w:rsidP="00957916">
            <w:pPr>
              <w:spacing w:after="0" w:line="240" w:lineRule="auto"/>
              <w:jc w:val="right"/>
              <w:rPr>
                <w:rFonts w:ascii="Calibri" w:eastAsia="Times New Roman" w:hAnsi="Calibri" w:cs="Arial"/>
                <w:bCs/>
                <w:color w:val="000000"/>
                <w:sz w:val="21"/>
                <w:szCs w:val="21"/>
                <w:lang w:eastAsia="en-AU"/>
              </w:rPr>
            </w:pPr>
            <w:r w:rsidRPr="00957916">
              <w:rPr>
                <w:rFonts w:ascii="Calibri" w:eastAsia="Times New Roman" w:hAnsi="Calibri" w:cs="Arial"/>
                <w:bCs/>
                <w:color w:val="000000"/>
                <w:sz w:val="21"/>
                <w:szCs w:val="21"/>
                <w:lang w:eastAsia="en-AU"/>
              </w:rPr>
              <w:t>58.6%</w:t>
            </w:r>
          </w:p>
        </w:tc>
        <w:tc>
          <w:tcPr>
            <w:tcW w:w="1275" w:type="dxa"/>
            <w:tcBorders>
              <w:top w:val="nil"/>
              <w:left w:val="nil"/>
              <w:bottom w:val="nil"/>
              <w:right w:val="nil"/>
            </w:tcBorders>
            <w:shd w:val="clear" w:color="auto" w:fill="auto"/>
            <w:noWrap/>
            <w:vAlign w:val="center"/>
            <w:hideMark/>
          </w:tcPr>
          <w:p w:rsidR="00957916" w:rsidRPr="00957916" w:rsidRDefault="00957916" w:rsidP="00957916">
            <w:pPr>
              <w:spacing w:after="0" w:line="240" w:lineRule="auto"/>
              <w:jc w:val="right"/>
              <w:rPr>
                <w:rFonts w:ascii="Calibri" w:eastAsia="Times New Roman" w:hAnsi="Calibri" w:cs="Arial"/>
                <w:bCs/>
                <w:color w:val="000000"/>
                <w:sz w:val="21"/>
                <w:szCs w:val="21"/>
                <w:lang w:eastAsia="en-AU"/>
              </w:rPr>
            </w:pPr>
            <w:r w:rsidRPr="00957916">
              <w:rPr>
                <w:rFonts w:ascii="Calibri" w:eastAsia="Times New Roman" w:hAnsi="Calibri" w:cs="Arial"/>
                <w:bCs/>
                <w:color w:val="000000"/>
                <w:sz w:val="21"/>
                <w:szCs w:val="21"/>
                <w:lang w:eastAsia="en-AU"/>
              </w:rPr>
              <w:t>58.2%</w:t>
            </w:r>
          </w:p>
        </w:tc>
        <w:tc>
          <w:tcPr>
            <w:tcW w:w="1276" w:type="dxa"/>
            <w:tcBorders>
              <w:top w:val="nil"/>
              <w:left w:val="nil"/>
              <w:bottom w:val="nil"/>
              <w:right w:val="nil"/>
            </w:tcBorders>
            <w:shd w:val="clear" w:color="auto" w:fill="auto"/>
            <w:noWrap/>
            <w:vAlign w:val="center"/>
            <w:hideMark/>
          </w:tcPr>
          <w:p w:rsidR="00957916" w:rsidRPr="00957916" w:rsidRDefault="00957916" w:rsidP="00957916">
            <w:pPr>
              <w:spacing w:after="0" w:line="240" w:lineRule="auto"/>
              <w:jc w:val="right"/>
              <w:rPr>
                <w:rFonts w:ascii="Calibri" w:eastAsia="Times New Roman" w:hAnsi="Calibri" w:cs="Arial"/>
                <w:bCs/>
                <w:color w:val="000000"/>
                <w:sz w:val="21"/>
                <w:szCs w:val="21"/>
                <w:lang w:eastAsia="en-AU"/>
              </w:rPr>
            </w:pPr>
            <w:r w:rsidRPr="00957916">
              <w:rPr>
                <w:rFonts w:ascii="Calibri" w:eastAsia="Times New Roman" w:hAnsi="Calibri" w:cs="Arial"/>
                <w:bCs/>
                <w:color w:val="000000"/>
                <w:sz w:val="21"/>
                <w:szCs w:val="21"/>
                <w:lang w:eastAsia="en-AU"/>
              </w:rPr>
              <w:t>57.6%</w:t>
            </w:r>
          </w:p>
        </w:tc>
        <w:tc>
          <w:tcPr>
            <w:tcW w:w="1276" w:type="dxa"/>
            <w:tcBorders>
              <w:top w:val="nil"/>
              <w:left w:val="nil"/>
              <w:bottom w:val="nil"/>
              <w:right w:val="nil"/>
            </w:tcBorders>
            <w:shd w:val="clear" w:color="auto" w:fill="auto"/>
            <w:noWrap/>
            <w:vAlign w:val="center"/>
            <w:hideMark/>
          </w:tcPr>
          <w:p w:rsidR="00957916" w:rsidRPr="00957916" w:rsidRDefault="00957916" w:rsidP="00957916">
            <w:pPr>
              <w:spacing w:after="0" w:line="240" w:lineRule="auto"/>
              <w:jc w:val="right"/>
              <w:rPr>
                <w:rFonts w:ascii="Calibri" w:eastAsia="Times New Roman" w:hAnsi="Calibri" w:cs="Arial"/>
                <w:bCs/>
                <w:color w:val="000000"/>
                <w:sz w:val="21"/>
                <w:szCs w:val="21"/>
                <w:lang w:eastAsia="en-AU"/>
              </w:rPr>
            </w:pPr>
            <w:r w:rsidRPr="00957916">
              <w:rPr>
                <w:rFonts w:ascii="Calibri" w:eastAsia="Times New Roman" w:hAnsi="Calibri" w:cs="Arial"/>
                <w:bCs/>
                <w:color w:val="000000"/>
                <w:sz w:val="21"/>
                <w:szCs w:val="21"/>
                <w:lang w:eastAsia="en-AU"/>
              </w:rPr>
              <w:t>57.0%</w:t>
            </w:r>
          </w:p>
        </w:tc>
        <w:tc>
          <w:tcPr>
            <w:tcW w:w="1276" w:type="dxa"/>
            <w:tcBorders>
              <w:top w:val="nil"/>
              <w:left w:val="nil"/>
              <w:bottom w:val="nil"/>
              <w:right w:val="single" w:sz="4" w:space="0" w:color="auto"/>
            </w:tcBorders>
            <w:shd w:val="clear" w:color="auto" w:fill="auto"/>
            <w:noWrap/>
            <w:vAlign w:val="center"/>
            <w:hideMark/>
          </w:tcPr>
          <w:p w:rsidR="00957916" w:rsidRPr="00957916" w:rsidRDefault="00957916" w:rsidP="00957916">
            <w:pPr>
              <w:spacing w:after="0" w:line="240" w:lineRule="auto"/>
              <w:jc w:val="right"/>
              <w:rPr>
                <w:rFonts w:ascii="Calibri" w:eastAsia="Times New Roman" w:hAnsi="Calibri" w:cs="Arial"/>
                <w:bCs/>
                <w:color w:val="000000"/>
                <w:sz w:val="21"/>
                <w:szCs w:val="21"/>
                <w:lang w:eastAsia="en-AU"/>
              </w:rPr>
            </w:pPr>
            <w:r w:rsidRPr="00957916">
              <w:rPr>
                <w:rFonts w:ascii="Calibri" w:eastAsia="Times New Roman" w:hAnsi="Calibri" w:cs="Arial"/>
                <w:bCs/>
                <w:color w:val="000000"/>
                <w:sz w:val="21"/>
                <w:szCs w:val="21"/>
                <w:lang w:eastAsia="en-AU"/>
              </w:rPr>
              <w:t>56.4%</w:t>
            </w:r>
          </w:p>
        </w:tc>
      </w:tr>
      <w:tr w:rsidR="00957916" w:rsidRPr="00957916" w:rsidTr="00957916">
        <w:trPr>
          <w:trHeight w:val="630"/>
        </w:trPr>
        <w:tc>
          <w:tcPr>
            <w:tcW w:w="2547" w:type="dxa"/>
            <w:tcBorders>
              <w:top w:val="nil"/>
              <w:left w:val="single" w:sz="4" w:space="0" w:color="auto"/>
              <w:bottom w:val="nil"/>
              <w:right w:val="nil"/>
            </w:tcBorders>
            <w:shd w:val="clear" w:color="DEEBF7" w:fill="DEEBF7"/>
            <w:vAlign w:val="center"/>
            <w:hideMark/>
          </w:tcPr>
          <w:p w:rsidR="00957916" w:rsidRPr="00957916" w:rsidRDefault="00957916" w:rsidP="00957916">
            <w:pPr>
              <w:spacing w:after="0" w:line="240" w:lineRule="auto"/>
              <w:rPr>
                <w:rFonts w:ascii="Calibri" w:eastAsia="Times New Roman" w:hAnsi="Calibri" w:cs="Arial"/>
                <w:b/>
                <w:bCs/>
                <w:color w:val="000000"/>
                <w:sz w:val="21"/>
                <w:szCs w:val="21"/>
                <w:lang w:eastAsia="en-AU"/>
              </w:rPr>
            </w:pPr>
            <w:r w:rsidRPr="00957916">
              <w:rPr>
                <w:rFonts w:ascii="Calibri" w:eastAsia="Times New Roman" w:hAnsi="Calibri" w:cs="Arial"/>
                <w:b/>
                <w:bCs/>
                <w:color w:val="000000"/>
                <w:sz w:val="21"/>
                <w:szCs w:val="21"/>
                <w:lang w:eastAsia="en-AU"/>
              </w:rPr>
              <w:t>Effective interest rate</w:t>
            </w:r>
          </w:p>
        </w:tc>
        <w:tc>
          <w:tcPr>
            <w:tcW w:w="1276" w:type="dxa"/>
            <w:tcBorders>
              <w:top w:val="nil"/>
              <w:left w:val="nil"/>
              <w:bottom w:val="nil"/>
              <w:right w:val="nil"/>
            </w:tcBorders>
            <w:shd w:val="clear" w:color="DEEBF7" w:fill="DEEBF7"/>
            <w:noWrap/>
            <w:vAlign w:val="center"/>
            <w:hideMark/>
          </w:tcPr>
          <w:p w:rsidR="00957916" w:rsidRPr="00957916" w:rsidRDefault="00957916" w:rsidP="00957916">
            <w:pPr>
              <w:spacing w:after="0" w:line="240" w:lineRule="auto"/>
              <w:jc w:val="right"/>
              <w:rPr>
                <w:rFonts w:ascii="Calibri" w:eastAsia="Times New Roman" w:hAnsi="Calibri" w:cs="Arial"/>
                <w:bCs/>
                <w:color w:val="000000"/>
                <w:sz w:val="21"/>
                <w:szCs w:val="21"/>
                <w:lang w:eastAsia="en-AU"/>
              </w:rPr>
            </w:pPr>
            <w:r w:rsidRPr="00957916">
              <w:rPr>
                <w:rFonts w:ascii="Calibri" w:eastAsia="Times New Roman" w:hAnsi="Calibri" w:cs="Arial"/>
                <w:bCs/>
                <w:color w:val="000000"/>
                <w:sz w:val="21"/>
                <w:szCs w:val="21"/>
                <w:lang w:eastAsia="en-AU"/>
              </w:rPr>
              <w:t>8.0%</w:t>
            </w:r>
          </w:p>
        </w:tc>
        <w:tc>
          <w:tcPr>
            <w:tcW w:w="1275" w:type="dxa"/>
            <w:tcBorders>
              <w:top w:val="nil"/>
              <w:left w:val="nil"/>
              <w:bottom w:val="nil"/>
              <w:right w:val="nil"/>
            </w:tcBorders>
            <w:shd w:val="clear" w:color="DEEBF7" w:fill="DEEBF7"/>
            <w:noWrap/>
            <w:vAlign w:val="center"/>
            <w:hideMark/>
          </w:tcPr>
          <w:p w:rsidR="00957916" w:rsidRPr="00957916" w:rsidRDefault="00957916" w:rsidP="00957916">
            <w:pPr>
              <w:spacing w:after="0" w:line="240" w:lineRule="auto"/>
              <w:jc w:val="right"/>
              <w:rPr>
                <w:rFonts w:ascii="Calibri" w:eastAsia="Times New Roman" w:hAnsi="Calibri" w:cs="Arial"/>
                <w:bCs/>
                <w:color w:val="000000"/>
                <w:sz w:val="21"/>
                <w:szCs w:val="21"/>
                <w:lang w:eastAsia="en-AU"/>
              </w:rPr>
            </w:pPr>
            <w:r w:rsidRPr="00957916">
              <w:rPr>
                <w:rFonts w:ascii="Calibri" w:eastAsia="Times New Roman" w:hAnsi="Calibri" w:cs="Arial"/>
                <w:bCs/>
                <w:color w:val="000000"/>
                <w:sz w:val="21"/>
                <w:szCs w:val="21"/>
                <w:lang w:eastAsia="en-AU"/>
              </w:rPr>
              <w:t>8.0%</w:t>
            </w:r>
          </w:p>
        </w:tc>
        <w:tc>
          <w:tcPr>
            <w:tcW w:w="1276" w:type="dxa"/>
            <w:tcBorders>
              <w:top w:val="nil"/>
              <w:left w:val="nil"/>
              <w:bottom w:val="nil"/>
              <w:right w:val="nil"/>
            </w:tcBorders>
            <w:shd w:val="clear" w:color="DEEBF7" w:fill="DEEBF7"/>
            <w:noWrap/>
            <w:vAlign w:val="center"/>
            <w:hideMark/>
          </w:tcPr>
          <w:p w:rsidR="00957916" w:rsidRPr="00957916" w:rsidRDefault="00957916" w:rsidP="00957916">
            <w:pPr>
              <w:spacing w:after="0" w:line="240" w:lineRule="auto"/>
              <w:jc w:val="right"/>
              <w:rPr>
                <w:rFonts w:ascii="Calibri" w:eastAsia="Times New Roman" w:hAnsi="Calibri" w:cs="Arial"/>
                <w:bCs/>
                <w:color w:val="000000"/>
                <w:sz w:val="21"/>
                <w:szCs w:val="21"/>
                <w:lang w:eastAsia="en-AU"/>
              </w:rPr>
            </w:pPr>
            <w:r w:rsidRPr="00957916">
              <w:rPr>
                <w:rFonts w:ascii="Calibri" w:eastAsia="Times New Roman" w:hAnsi="Calibri" w:cs="Arial"/>
                <w:bCs/>
                <w:color w:val="000000"/>
                <w:sz w:val="21"/>
                <w:szCs w:val="21"/>
                <w:lang w:eastAsia="en-AU"/>
              </w:rPr>
              <w:t>10.0%</w:t>
            </w:r>
          </w:p>
        </w:tc>
        <w:tc>
          <w:tcPr>
            <w:tcW w:w="1276" w:type="dxa"/>
            <w:tcBorders>
              <w:top w:val="nil"/>
              <w:left w:val="nil"/>
              <w:bottom w:val="nil"/>
              <w:right w:val="nil"/>
            </w:tcBorders>
            <w:shd w:val="clear" w:color="DEEBF7" w:fill="DEEBF7"/>
            <w:noWrap/>
            <w:vAlign w:val="center"/>
            <w:hideMark/>
          </w:tcPr>
          <w:p w:rsidR="00957916" w:rsidRPr="00957916" w:rsidRDefault="00957916" w:rsidP="00957916">
            <w:pPr>
              <w:spacing w:after="0" w:line="240" w:lineRule="auto"/>
              <w:jc w:val="right"/>
              <w:rPr>
                <w:rFonts w:ascii="Calibri" w:eastAsia="Times New Roman" w:hAnsi="Calibri" w:cs="Arial"/>
                <w:bCs/>
                <w:color w:val="000000"/>
                <w:sz w:val="21"/>
                <w:szCs w:val="21"/>
                <w:lang w:eastAsia="en-AU"/>
              </w:rPr>
            </w:pPr>
            <w:r w:rsidRPr="00957916">
              <w:rPr>
                <w:rFonts w:ascii="Calibri" w:eastAsia="Times New Roman" w:hAnsi="Calibri" w:cs="Arial"/>
                <w:bCs/>
                <w:color w:val="000000"/>
                <w:sz w:val="21"/>
                <w:szCs w:val="21"/>
                <w:lang w:eastAsia="en-AU"/>
              </w:rPr>
              <w:t>10.0%</w:t>
            </w:r>
          </w:p>
        </w:tc>
        <w:tc>
          <w:tcPr>
            <w:tcW w:w="1276" w:type="dxa"/>
            <w:tcBorders>
              <w:top w:val="nil"/>
              <w:left w:val="nil"/>
              <w:bottom w:val="nil"/>
              <w:right w:val="single" w:sz="4" w:space="0" w:color="auto"/>
            </w:tcBorders>
            <w:shd w:val="clear" w:color="DEEBF7" w:fill="DEEBF7"/>
            <w:noWrap/>
            <w:vAlign w:val="center"/>
            <w:hideMark/>
          </w:tcPr>
          <w:p w:rsidR="00957916" w:rsidRPr="00957916" w:rsidRDefault="00957916" w:rsidP="00957916">
            <w:pPr>
              <w:spacing w:after="0" w:line="240" w:lineRule="auto"/>
              <w:jc w:val="right"/>
              <w:rPr>
                <w:rFonts w:ascii="Calibri" w:eastAsia="Times New Roman" w:hAnsi="Calibri" w:cs="Arial"/>
                <w:bCs/>
                <w:color w:val="000000"/>
                <w:sz w:val="21"/>
                <w:szCs w:val="21"/>
                <w:lang w:eastAsia="en-AU"/>
              </w:rPr>
            </w:pPr>
            <w:r w:rsidRPr="00957916">
              <w:rPr>
                <w:rFonts w:ascii="Calibri" w:eastAsia="Times New Roman" w:hAnsi="Calibri" w:cs="Arial"/>
                <w:bCs/>
                <w:color w:val="000000"/>
                <w:sz w:val="21"/>
                <w:szCs w:val="21"/>
                <w:lang w:eastAsia="en-AU"/>
              </w:rPr>
              <w:t>10.0%</w:t>
            </w:r>
          </w:p>
        </w:tc>
      </w:tr>
      <w:tr w:rsidR="00957916" w:rsidRPr="00957916" w:rsidTr="00957916">
        <w:trPr>
          <w:trHeight w:val="630"/>
        </w:trPr>
        <w:tc>
          <w:tcPr>
            <w:tcW w:w="2547" w:type="dxa"/>
            <w:tcBorders>
              <w:top w:val="single" w:sz="4" w:space="0" w:color="auto"/>
              <w:left w:val="single" w:sz="4" w:space="0" w:color="auto"/>
              <w:bottom w:val="nil"/>
              <w:right w:val="nil"/>
            </w:tcBorders>
            <w:shd w:val="clear" w:color="FFFF00" w:fill="FFFF00"/>
            <w:vAlign w:val="center"/>
            <w:hideMark/>
          </w:tcPr>
          <w:p w:rsidR="00957916" w:rsidRPr="00957916" w:rsidRDefault="00957916" w:rsidP="00781B94">
            <w:pPr>
              <w:spacing w:after="0" w:line="240" w:lineRule="auto"/>
              <w:rPr>
                <w:rFonts w:ascii="Calibri" w:eastAsia="Times New Roman" w:hAnsi="Calibri" w:cs="Arial"/>
                <w:b/>
                <w:bCs/>
                <w:color w:val="000000"/>
                <w:sz w:val="21"/>
                <w:szCs w:val="21"/>
                <w:lang w:eastAsia="en-AU"/>
              </w:rPr>
            </w:pPr>
            <w:r w:rsidRPr="00957916">
              <w:rPr>
                <w:rFonts w:ascii="Calibri" w:eastAsia="Times New Roman" w:hAnsi="Calibri" w:cs="Arial"/>
                <w:b/>
                <w:bCs/>
                <w:color w:val="000000"/>
                <w:sz w:val="21"/>
                <w:szCs w:val="21"/>
                <w:lang w:eastAsia="en-AU"/>
              </w:rPr>
              <w:t>Key Items of Balance Sheet</w:t>
            </w:r>
          </w:p>
        </w:tc>
        <w:tc>
          <w:tcPr>
            <w:tcW w:w="1276" w:type="dxa"/>
            <w:tcBorders>
              <w:top w:val="single" w:sz="4" w:space="0" w:color="auto"/>
              <w:left w:val="nil"/>
              <w:bottom w:val="nil"/>
              <w:right w:val="nil"/>
            </w:tcBorders>
            <w:shd w:val="clear" w:color="FFFF00" w:fill="FFFF00"/>
            <w:noWrap/>
            <w:vAlign w:val="center"/>
            <w:hideMark/>
          </w:tcPr>
          <w:p w:rsidR="00957916" w:rsidRPr="00957916" w:rsidRDefault="00957916" w:rsidP="00957916">
            <w:pPr>
              <w:spacing w:after="0" w:line="240" w:lineRule="auto"/>
              <w:rPr>
                <w:rFonts w:ascii="Calibri" w:eastAsia="Times New Roman" w:hAnsi="Calibri" w:cs="Arial"/>
                <w:b/>
                <w:bCs/>
                <w:color w:val="000000"/>
                <w:sz w:val="21"/>
                <w:szCs w:val="21"/>
                <w:lang w:eastAsia="en-AU"/>
              </w:rPr>
            </w:pPr>
            <w:r w:rsidRPr="00957916">
              <w:rPr>
                <w:rFonts w:ascii="Calibri" w:eastAsia="Times New Roman" w:hAnsi="Calibri" w:cs="Arial"/>
                <w:b/>
                <w:bCs/>
                <w:color w:val="000000"/>
                <w:sz w:val="21"/>
                <w:szCs w:val="21"/>
                <w:lang w:eastAsia="en-AU"/>
              </w:rPr>
              <w:t> </w:t>
            </w:r>
          </w:p>
        </w:tc>
        <w:tc>
          <w:tcPr>
            <w:tcW w:w="1275" w:type="dxa"/>
            <w:tcBorders>
              <w:top w:val="single" w:sz="4" w:space="0" w:color="auto"/>
              <w:left w:val="nil"/>
              <w:bottom w:val="nil"/>
              <w:right w:val="nil"/>
            </w:tcBorders>
            <w:shd w:val="clear" w:color="FFFF00" w:fill="FFFF00"/>
            <w:noWrap/>
            <w:vAlign w:val="center"/>
            <w:hideMark/>
          </w:tcPr>
          <w:p w:rsidR="00957916" w:rsidRPr="00957916" w:rsidRDefault="00957916" w:rsidP="00957916">
            <w:pPr>
              <w:spacing w:after="0" w:line="240" w:lineRule="auto"/>
              <w:rPr>
                <w:rFonts w:ascii="Calibri" w:eastAsia="Times New Roman" w:hAnsi="Calibri" w:cs="Arial"/>
                <w:b/>
                <w:bCs/>
                <w:color w:val="000000"/>
                <w:sz w:val="21"/>
                <w:szCs w:val="21"/>
                <w:lang w:eastAsia="en-AU"/>
              </w:rPr>
            </w:pPr>
            <w:r w:rsidRPr="00957916">
              <w:rPr>
                <w:rFonts w:ascii="Calibri" w:eastAsia="Times New Roman" w:hAnsi="Calibri" w:cs="Arial"/>
                <w:b/>
                <w:bCs/>
                <w:color w:val="000000"/>
                <w:sz w:val="21"/>
                <w:szCs w:val="21"/>
                <w:lang w:eastAsia="en-AU"/>
              </w:rPr>
              <w:t> </w:t>
            </w:r>
          </w:p>
        </w:tc>
        <w:tc>
          <w:tcPr>
            <w:tcW w:w="1276" w:type="dxa"/>
            <w:tcBorders>
              <w:top w:val="single" w:sz="4" w:space="0" w:color="auto"/>
              <w:left w:val="nil"/>
              <w:bottom w:val="nil"/>
              <w:right w:val="nil"/>
            </w:tcBorders>
            <w:shd w:val="clear" w:color="FFFF00" w:fill="FFFF00"/>
            <w:noWrap/>
            <w:vAlign w:val="center"/>
            <w:hideMark/>
          </w:tcPr>
          <w:p w:rsidR="00957916" w:rsidRPr="00957916" w:rsidRDefault="00957916" w:rsidP="00957916">
            <w:pPr>
              <w:spacing w:after="0" w:line="240" w:lineRule="auto"/>
              <w:rPr>
                <w:rFonts w:ascii="Calibri" w:eastAsia="Times New Roman" w:hAnsi="Calibri" w:cs="Arial"/>
                <w:b/>
                <w:bCs/>
                <w:color w:val="000000"/>
                <w:sz w:val="21"/>
                <w:szCs w:val="21"/>
                <w:lang w:eastAsia="en-AU"/>
              </w:rPr>
            </w:pPr>
            <w:r w:rsidRPr="00957916">
              <w:rPr>
                <w:rFonts w:ascii="Calibri" w:eastAsia="Times New Roman" w:hAnsi="Calibri" w:cs="Arial"/>
                <w:b/>
                <w:bCs/>
                <w:color w:val="000000"/>
                <w:sz w:val="21"/>
                <w:szCs w:val="21"/>
                <w:lang w:eastAsia="en-AU"/>
              </w:rPr>
              <w:t> </w:t>
            </w:r>
          </w:p>
        </w:tc>
        <w:tc>
          <w:tcPr>
            <w:tcW w:w="1276" w:type="dxa"/>
            <w:tcBorders>
              <w:top w:val="single" w:sz="4" w:space="0" w:color="auto"/>
              <w:left w:val="nil"/>
              <w:bottom w:val="nil"/>
              <w:right w:val="nil"/>
            </w:tcBorders>
            <w:shd w:val="clear" w:color="FFFF00" w:fill="FFFF00"/>
            <w:noWrap/>
            <w:vAlign w:val="center"/>
            <w:hideMark/>
          </w:tcPr>
          <w:p w:rsidR="00957916" w:rsidRPr="00957916" w:rsidRDefault="00957916" w:rsidP="00957916">
            <w:pPr>
              <w:spacing w:after="0" w:line="240" w:lineRule="auto"/>
              <w:rPr>
                <w:rFonts w:ascii="Calibri" w:eastAsia="Times New Roman" w:hAnsi="Calibri" w:cs="Arial"/>
                <w:b/>
                <w:bCs/>
                <w:color w:val="000000"/>
                <w:sz w:val="21"/>
                <w:szCs w:val="21"/>
                <w:lang w:eastAsia="en-AU"/>
              </w:rPr>
            </w:pPr>
            <w:r w:rsidRPr="00957916">
              <w:rPr>
                <w:rFonts w:ascii="Calibri" w:eastAsia="Times New Roman" w:hAnsi="Calibri" w:cs="Arial"/>
                <w:b/>
                <w:bCs/>
                <w:color w:val="000000"/>
                <w:sz w:val="21"/>
                <w:szCs w:val="21"/>
                <w:lang w:eastAsia="en-AU"/>
              </w:rPr>
              <w:t> </w:t>
            </w:r>
          </w:p>
        </w:tc>
        <w:tc>
          <w:tcPr>
            <w:tcW w:w="1276" w:type="dxa"/>
            <w:tcBorders>
              <w:top w:val="single" w:sz="4" w:space="0" w:color="auto"/>
              <w:left w:val="nil"/>
              <w:bottom w:val="nil"/>
              <w:right w:val="single" w:sz="4" w:space="0" w:color="auto"/>
            </w:tcBorders>
            <w:shd w:val="clear" w:color="FFFF00" w:fill="FFFF00"/>
            <w:noWrap/>
            <w:vAlign w:val="center"/>
            <w:hideMark/>
          </w:tcPr>
          <w:p w:rsidR="00957916" w:rsidRPr="00957916" w:rsidRDefault="00957916" w:rsidP="00957916">
            <w:pPr>
              <w:spacing w:after="0" w:line="240" w:lineRule="auto"/>
              <w:rPr>
                <w:rFonts w:ascii="Calibri" w:eastAsia="Times New Roman" w:hAnsi="Calibri" w:cs="Arial"/>
                <w:b/>
                <w:bCs/>
                <w:color w:val="000000"/>
                <w:sz w:val="21"/>
                <w:szCs w:val="21"/>
                <w:lang w:eastAsia="en-AU"/>
              </w:rPr>
            </w:pPr>
            <w:r w:rsidRPr="00957916">
              <w:rPr>
                <w:rFonts w:ascii="Calibri" w:eastAsia="Times New Roman" w:hAnsi="Calibri" w:cs="Arial"/>
                <w:b/>
                <w:bCs/>
                <w:color w:val="000000"/>
                <w:sz w:val="21"/>
                <w:szCs w:val="21"/>
                <w:lang w:eastAsia="en-AU"/>
              </w:rPr>
              <w:t> </w:t>
            </w:r>
          </w:p>
        </w:tc>
      </w:tr>
      <w:tr w:rsidR="00957916" w:rsidRPr="00957916" w:rsidTr="00957916">
        <w:trPr>
          <w:trHeight w:val="375"/>
        </w:trPr>
        <w:tc>
          <w:tcPr>
            <w:tcW w:w="2547" w:type="dxa"/>
            <w:tcBorders>
              <w:top w:val="single" w:sz="4" w:space="0" w:color="auto"/>
              <w:left w:val="single" w:sz="4" w:space="0" w:color="auto"/>
              <w:bottom w:val="nil"/>
              <w:right w:val="nil"/>
            </w:tcBorders>
            <w:shd w:val="clear" w:color="DEEBF7" w:fill="DEEBF7"/>
            <w:vAlign w:val="center"/>
            <w:hideMark/>
          </w:tcPr>
          <w:p w:rsidR="00957916" w:rsidRPr="00957916" w:rsidRDefault="00957916" w:rsidP="00957916">
            <w:pPr>
              <w:spacing w:after="0" w:line="240" w:lineRule="auto"/>
              <w:rPr>
                <w:rFonts w:ascii="Calibri" w:eastAsia="Times New Roman" w:hAnsi="Calibri" w:cs="Arial"/>
                <w:b/>
                <w:bCs/>
                <w:color w:val="000000"/>
                <w:sz w:val="21"/>
                <w:szCs w:val="21"/>
                <w:lang w:eastAsia="en-AU"/>
              </w:rPr>
            </w:pPr>
            <w:r w:rsidRPr="00957916">
              <w:rPr>
                <w:rFonts w:ascii="Calibri" w:eastAsia="Times New Roman" w:hAnsi="Calibri" w:cs="Arial"/>
                <w:b/>
                <w:bCs/>
                <w:color w:val="000000"/>
                <w:sz w:val="21"/>
                <w:szCs w:val="21"/>
                <w:lang w:eastAsia="en-AU"/>
              </w:rPr>
              <w:t>PPE</w:t>
            </w:r>
          </w:p>
        </w:tc>
        <w:tc>
          <w:tcPr>
            <w:tcW w:w="1276" w:type="dxa"/>
            <w:tcBorders>
              <w:top w:val="single" w:sz="4" w:space="0" w:color="auto"/>
              <w:left w:val="nil"/>
              <w:bottom w:val="nil"/>
              <w:right w:val="nil"/>
            </w:tcBorders>
            <w:shd w:val="clear" w:color="DEEBF7" w:fill="DEEBF7"/>
            <w:noWrap/>
            <w:vAlign w:val="center"/>
            <w:hideMark/>
          </w:tcPr>
          <w:p w:rsidR="00957916" w:rsidRPr="00957916" w:rsidRDefault="00957916" w:rsidP="00957916">
            <w:pPr>
              <w:spacing w:after="0" w:line="240" w:lineRule="auto"/>
              <w:jc w:val="right"/>
              <w:rPr>
                <w:rFonts w:ascii="Calibri" w:eastAsia="Times New Roman" w:hAnsi="Calibri" w:cs="Arial"/>
                <w:bCs/>
                <w:color w:val="000000"/>
                <w:sz w:val="21"/>
                <w:szCs w:val="21"/>
                <w:lang w:eastAsia="en-AU"/>
              </w:rPr>
            </w:pPr>
            <w:r w:rsidRPr="00957916">
              <w:rPr>
                <w:rFonts w:ascii="Calibri" w:eastAsia="Times New Roman" w:hAnsi="Calibri" w:cs="Arial"/>
                <w:bCs/>
                <w:color w:val="000000"/>
                <w:sz w:val="21"/>
                <w:szCs w:val="21"/>
                <w:lang w:eastAsia="en-AU"/>
              </w:rPr>
              <w:t xml:space="preserve"> $   407,978 </w:t>
            </w:r>
          </w:p>
        </w:tc>
        <w:tc>
          <w:tcPr>
            <w:tcW w:w="1275" w:type="dxa"/>
            <w:tcBorders>
              <w:top w:val="single" w:sz="4" w:space="0" w:color="auto"/>
              <w:left w:val="nil"/>
              <w:bottom w:val="nil"/>
              <w:right w:val="nil"/>
            </w:tcBorders>
            <w:shd w:val="clear" w:color="DEEBF7" w:fill="DEEBF7"/>
            <w:noWrap/>
            <w:vAlign w:val="center"/>
            <w:hideMark/>
          </w:tcPr>
          <w:p w:rsidR="00957916" w:rsidRPr="00957916" w:rsidRDefault="00957916" w:rsidP="00957916">
            <w:pPr>
              <w:spacing w:after="0" w:line="240" w:lineRule="auto"/>
              <w:jc w:val="right"/>
              <w:rPr>
                <w:rFonts w:ascii="Calibri" w:eastAsia="Times New Roman" w:hAnsi="Calibri" w:cs="Arial"/>
                <w:bCs/>
                <w:color w:val="000000"/>
                <w:sz w:val="21"/>
                <w:szCs w:val="21"/>
                <w:lang w:eastAsia="en-AU"/>
              </w:rPr>
            </w:pPr>
            <w:r w:rsidRPr="00957916">
              <w:rPr>
                <w:rFonts w:ascii="Calibri" w:eastAsia="Times New Roman" w:hAnsi="Calibri" w:cs="Arial"/>
                <w:bCs/>
                <w:color w:val="000000"/>
                <w:sz w:val="21"/>
                <w:szCs w:val="21"/>
                <w:lang w:eastAsia="en-AU"/>
              </w:rPr>
              <w:t xml:space="preserve"> $   391,220 </w:t>
            </w:r>
          </w:p>
        </w:tc>
        <w:tc>
          <w:tcPr>
            <w:tcW w:w="1276" w:type="dxa"/>
            <w:tcBorders>
              <w:top w:val="single" w:sz="4" w:space="0" w:color="auto"/>
              <w:left w:val="nil"/>
              <w:bottom w:val="nil"/>
              <w:right w:val="nil"/>
            </w:tcBorders>
            <w:shd w:val="clear" w:color="DEEBF7" w:fill="DEEBF7"/>
            <w:noWrap/>
            <w:vAlign w:val="center"/>
            <w:hideMark/>
          </w:tcPr>
          <w:p w:rsidR="00957916" w:rsidRPr="00957916" w:rsidRDefault="00957916" w:rsidP="00957916">
            <w:pPr>
              <w:spacing w:after="0" w:line="240" w:lineRule="auto"/>
              <w:jc w:val="right"/>
              <w:rPr>
                <w:rFonts w:ascii="Calibri" w:eastAsia="Times New Roman" w:hAnsi="Calibri" w:cs="Arial"/>
                <w:bCs/>
                <w:color w:val="000000"/>
                <w:sz w:val="21"/>
                <w:szCs w:val="21"/>
                <w:lang w:eastAsia="en-AU"/>
              </w:rPr>
            </w:pPr>
            <w:r w:rsidRPr="00957916">
              <w:rPr>
                <w:rFonts w:ascii="Calibri" w:eastAsia="Times New Roman" w:hAnsi="Calibri" w:cs="Arial"/>
                <w:bCs/>
                <w:color w:val="000000"/>
                <w:sz w:val="21"/>
                <w:szCs w:val="21"/>
                <w:lang w:eastAsia="en-AU"/>
              </w:rPr>
              <w:t xml:space="preserve"> $   371,531 </w:t>
            </w:r>
          </w:p>
        </w:tc>
        <w:tc>
          <w:tcPr>
            <w:tcW w:w="1276" w:type="dxa"/>
            <w:tcBorders>
              <w:top w:val="single" w:sz="4" w:space="0" w:color="auto"/>
              <w:left w:val="nil"/>
              <w:bottom w:val="nil"/>
              <w:right w:val="nil"/>
            </w:tcBorders>
            <w:shd w:val="clear" w:color="DEEBF7" w:fill="DEEBF7"/>
            <w:noWrap/>
            <w:vAlign w:val="center"/>
            <w:hideMark/>
          </w:tcPr>
          <w:p w:rsidR="00957916" w:rsidRPr="00957916" w:rsidRDefault="00957916" w:rsidP="00957916">
            <w:pPr>
              <w:spacing w:after="0" w:line="240" w:lineRule="auto"/>
              <w:jc w:val="right"/>
              <w:rPr>
                <w:rFonts w:ascii="Calibri" w:eastAsia="Times New Roman" w:hAnsi="Calibri" w:cs="Arial"/>
                <w:bCs/>
                <w:color w:val="000000"/>
                <w:sz w:val="21"/>
                <w:szCs w:val="21"/>
                <w:lang w:eastAsia="en-AU"/>
              </w:rPr>
            </w:pPr>
            <w:r w:rsidRPr="00957916">
              <w:rPr>
                <w:rFonts w:ascii="Calibri" w:eastAsia="Times New Roman" w:hAnsi="Calibri" w:cs="Arial"/>
                <w:bCs/>
                <w:color w:val="000000"/>
                <w:sz w:val="21"/>
                <w:szCs w:val="21"/>
                <w:lang w:eastAsia="en-AU"/>
              </w:rPr>
              <w:t xml:space="preserve"> $   342,722 </w:t>
            </w:r>
          </w:p>
        </w:tc>
        <w:tc>
          <w:tcPr>
            <w:tcW w:w="1276" w:type="dxa"/>
            <w:tcBorders>
              <w:top w:val="single" w:sz="4" w:space="0" w:color="auto"/>
              <w:left w:val="nil"/>
              <w:bottom w:val="nil"/>
              <w:right w:val="single" w:sz="4" w:space="0" w:color="auto"/>
            </w:tcBorders>
            <w:shd w:val="clear" w:color="DEEBF7" w:fill="DEEBF7"/>
            <w:noWrap/>
            <w:vAlign w:val="center"/>
            <w:hideMark/>
          </w:tcPr>
          <w:p w:rsidR="00957916" w:rsidRPr="00957916" w:rsidRDefault="00957916" w:rsidP="00957916">
            <w:pPr>
              <w:spacing w:after="0" w:line="240" w:lineRule="auto"/>
              <w:jc w:val="right"/>
              <w:rPr>
                <w:rFonts w:ascii="Calibri" w:eastAsia="Times New Roman" w:hAnsi="Calibri" w:cs="Arial"/>
                <w:bCs/>
                <w:color w:val="000000"/>
                <w:sz w:val="21"/>
                <w:szCs w:val="21"/>
                <w:lang w:eastAsia="en-AU"/>
              </w:rPr>
            </w:pPr>
            <w:r w:rsidRPr="00957916">
              <w:rPr>
                <w:rFonts w:ascii="Calibri" w:eastAsia="Times New Roman" w:hAnsi="Calibri" w:cs="Arial"/>
                <w:bCs/>
                <w:color w:val="000000"/>
                <w:sz w:val="21"/>
                <w:szCs w:val="21"/>
                <w:lang w:eastAsia="en-AU"/>
              </w:rPr>
              <w:t xml:space="preserve"> $   339,218 </w:t>
            </w:r>
          </w:p>
        </w:tc>
      </w:tr>
      <w:tr w:rsidR="00957916" w:rsidRPr="00957916" w:rsidTr="00957916">
        <w:trPr>
          <w:trHeight w:val="375"/>
        </w:trPr>
        <w:tc>
          <w:tcPr>
            <w:tcW w:w="2547" w:type="dxa"/>
            <w:tcBorders>
              <w:top w:val="nil"/>
              <w:left w:val="single" w:sz="4" w:space="0" w:color="auto"/>
              <w:bottom w:val="nil"/>
              <w:right w:val="nil"/>
            </w:tcBorders>
            <w:shd w:val="clear" w:color="auto" w:fill="auto"/>
            <w:noWrap/>
            <w:vAlign w:val="center"/>
            <w:hideMark/>
          </w:tcPr>
          <w:p w:rsidR="00957916" w:rsidRPr="00957916" w:rsidRDefault="00957916" w:rsidP="00957916">
            <w:pPr>
              <w:spacing w:after="0" w:line="240" w:lineRule="auto"/>
              <w:rPr>
                <w:rFonts w:ascii="Calibri" w:eastAsia="Times New Roman" w:hAnsi="Calibri" w:cs="Arial"/>
                <w:b/>
                <w:bCs/>
                <w:color w:val="000000"/>
                <w:sz w:val="21"/>
                <w:szCs w:val="21"/>
                <w:lang w:eastAsia="en-AU"/>
              </w:rPr>
            </w:pPr>
            <w:r w:rsidRPr="00957916">
              <w:rPr>
                <w:rFonts w:ascii="Calibri" w:eastAsia="Times New Roman" w:hAnsi="Calibri" w:cs="Arial"/>
                <w:b/>
                <w:bCs/>
                <w:color w:val="000000"/>
                <w:sz w:val="21"/>
                <w:szCs w:val="21"/>
                <w:lang w:eastAsia="en-AU"/>
              </w:rPr>
              <w:t>Net debts</w:t>
            </w:r>
          </w:p>
        </w:tc>
        <w:tc>
          <w:tcPr>
            <w:tcW w:w="1276" w:type="dxa"/>
            <w:tcBorders>
              <w:top w:val="nil"/>
              <w:left w:val="nil"/>
              <w:bottom w:val="nil"/>
              <w:right w:val="nil"/>
            </w:tcBorders>
            <w:shd w:val="clear" w:color="auto" w:fill="auto"/>
            <w:noWrap/>
            <w:vAlign w:val="center"/>
            <w:hideMark/>
          </w:tcPr>
          <w:p w:rsidR="00957916" w:rsidRPr="00957916" w:rsidRDefault="00957916" w:rsidP="00957916">
            <w:pPr>
              <w:spacing w:after="0" w:line="240" w:lineRule="auto"/>
              <w:jc w:val="right"/>
              <w:rPr>
                <w:rFonts w:ascii="Calibri" w:eastAsia="Times New Roman" w:hAnsi="Calibri" w:cs="Arial"/>
                <w:bCs/>
                <w:color w:val="000000"/>
                <w:sz w:val="21"/>
                <w:szCs w:val="21"/>
                <w:lang w:eastAsia="en-AU"/>
              </w:rPr>
            </w:pPr>
            <w:r w:rsidRPr="00957916">
              <w:rPr>
                <w:rFonts w:ascii="Calibri" w:eastAsia="Times New Roman" w:hAnsi="Calibri" w:cs="Arial"/>
                <w:bCs/>
                <w:color w:val="000000"/>
                <w:sz w:val="21"/>
                <w:szCs w:val="21"/>
                <w:lang w:eastAsia="en-AU"/>
              </w:rPr>
              <w:t xml:space="preserve"> $ (186,241)</w:t>
            </w:r>
          </w:p>
        </w:tc>
        <w:tc>
          <w:tcPr>
            <w:tcW w:w="1275" w:type="dxa"/>
            <w:tcBorders>
              <w:top w:val="nil"/>
              <w:left w:val="nil"/>
              <w:bottom w:val="nil"/>
              <w:right w:val="nil"/>
            </w:tcBorders>
            <w:shd w:val="clear" w:color="auto" w:fill="auto"/>
            <w:noWrap/>
            <w:vAlign w:val="center"/>
            <w:hideMark/>
          </w:tcPr>
          <w:p w:rsidR="00957916" w:rsidRPr="00957916" w:rsidRDefault="00957916" w:rsidP="00957916">
            <w:pPr>
              <w:spacing w:after="0" w:line="240" w:lineRule="auto"/>
              <w:jc w:val="right"/>
              <w:rPr>
                <w:rFonts w:ascii="Calibri" w:eastAsia="Times New Roman" w:hAnsi="Calibri" w:cs="Arial"/>
                <w:bCs/>
                <w:color w:val="000000"/>
                <w:sz w:val="21"/>
                <w:szCs w:val="21"/>
                <w:lang w:eastAsia="en-AU"/>
              </w:rPr>
            </w:pPr>
            <w:r w:rsidRPr="00957916">
              <w:rPr>
                <w:rFonts w:ascii="Calibri" w:eastAsia="Times New Roman" w:hAnsi="Calibri" w:cs="Arial"/>
                <w:bCs/>
                <w:color w:val="000000"/>
                <w:sz w:val="21"/>
                <w:szCs w:val="21"/>
                <w:lang w:eastAsia="en-AU"/>
              </w:rPr>
              <w:t xml:space="preserve"> $ (186,241)</w:t>
            </w:r>
          </w:p>
        </w:tc>
        <w:tc>
          <w:tcPr>
            <w:tcW w:w="1276" w:type="dxa"/>
            <w:tcBorders>
              <w:top w:val="nil"/>
              <w:left w:val="nil"/>
              <w:bottom w:val="nil"/>
              <w:right w:val="nil"/>
            </w:tcBorders>
            <w:shd w:val="clear" w:color="auto" w:fill="auto"/>
            <w:noWrap/>
            <w:vAlign w:val="center"/>
            <w:hideMark/>
          </w:tcPr>
          <w:p w:rsidR="00957916" w:rsidRPr="00957916" w:rsidRDefault="00957916" w:rsidP="00957916">
            <w:pPr>
              <w:spacing w:after="0" w:line="240" w:lineRule="auto"/>
              <w:jc w:val="right"/>
              <w:rPr>
                <w:rFonts w:ascii="Calibri" w:eastAsia="Times New Roman" w:hAnsi="Calibri" w:cs="Arial"/>
                <w:bCs/>
                <w:color w:val="000000"/>
                <w:sz w:val="21"/>
                <w:szCs w:val="21"/>
                <w:lang w:eastAsia="en-AU"/>
              </w:rPr>
            </w:pPr>
            <w:r w:rsidRPr="00957916">
              <w:rPr>
                <w:rFonts w:ascii="Calibri" w:eastAsia="Times New Roman" w:hAnsi="Calibri" w:cs="Arial"/>
                <w:bCs/>
                <w:color w:val="000000"/>
                <w:sz w:val="21"/>
                <w:szCs w:val="21"/>
                <w:lang w:eastAsia="en-AU"/>
              </w:rPr>
              <w:t xml:space="preserve"> $ (185,241)</w:t>
            </w:r>
          </w:p>
        </w:tc>
        <w:tc>
          <w:tcPr>
            <w:tcW w:w="1276" w:type="dxa"/>
            <w:tcBorders>
              <w:top w:val="nil"/>
              <w:left w:val="nil"/>
              <w:bottom w:val="nil"/>
              <w:right w:val="nil"/>
            </w:tcBorders>
            <w:shd w:val="clear" w:color="auto" w:fill="auto"/>
            <w:noWrap/>
            <w:vAlign w:val="center"/>
            <w:hideMark/>
          </w:tcPr>
          <w:p w:rsidR="00957916" w:rsidRPr="00957916" w:rsidRDefault="00957916" w:rsidP="00957916">
            <w:pPr>
              <w:spacing w:after="0" w:line="240" w:lineRule="auto"/>
              <w:jc w:val="right"/>
              <w:rPr>
                <w:rFonts w:ascii="Calibri" w:eastAsia="Times New Roman" w:hAnsi="Calibri" w:cs="Arial"/>
                <w:bCs/>
                <w:color w:val="000000"/>
                <w:sz w:val="21"/>
                <w:szCs w:val="21"/>
                <w:lang w:eastAsia="en-AU"/>
              </w:rPr>
            </w:pPr>
            <w:r w:rsidRPr="00957916">
              <w:rPr>
                <w:rFonts w:ascii="Calibri" w:eastAsia="Times New Roman" w:hAnsi="Calibri" w:cs="Arial"/>
                <w:bCs/>
                <w:color w:val="000000"/>
                <w:sz w:val="21"/>
                <w:szCs w:val="21"/>
                <w:lang w:eastAsia="en-AU"/>
              </w:rPr>
              <w:t xml:space="preserve"> $ (184,241)</w:t>
            </w:r>
          </w:p>
        </w:tc>
        <w:tc>
          <w:tcPr>
            <w:tcW w:w="1276" w:type="dxa"/>
            <w:tcBorders>
              <w:top w:val="nil"/>
              <w:left w:val="nil"/>
              <w:bottom w:val="nil"/>
              <w:right w:val="single" w:sz="4" w:space="0" w:color="auto"/>
            </w:tcBorders>
            <w:shd w:val="clear" w:color="auto" w:fill="auto"/>
            <w:noWrap/>
            <w:vAlign w:val="center"/>
            <w:hideMark/>
          </w:tcPr>
          <w:p w:rsidR="00957916" w:rsidRPr="00957916" w:rsidRDefault="00957916" w:rsidP="00957916">
            <w:pPr>
              <w:spacing w:after="0" w:line="240" w:lineRule="auto"/>
              <w:jc w:val="right"/>
              <w:rPr>
                <w:rFonts w:ascii="Calibri" w:eastAsia="Times New Roman" w:hAnsi="Calibri" w:cs="Arial"/>
                <w:bCs/>
                <w:color w:val="000000"/>
                <w:sz w:val="21"/>
                <w:szCs w:val="21"/>
                <w:lang w:eastAsia="en-AU"/>
              </w:rPr>
            </w:pPr>
            <w:r w:rsidRPr="00957916">
              <w:rPr>
                <w:rFonts w:ascii="Calibri" w:eastAsia="Times New Roman" w:hAnsi="Calibri" w:cs="Arial"/>
                <w:bCs/>
                <w:color w:val="000000"/>
                <w:sz w:val="21"/>
                <w:szCs w:val="21"/>
                <w:lang w:eastAsia="en-AU"/>
              </w:rPr>
              <w:t xml:space="preserve"> $ (184,241)</w:t>
            </w:r>
          </w:p>
        </w:tc>
      </w:tr>
      <w:tr w:rsidR="00957916" w:rsidRPr="00957916" w:rsidTr="00957916">
        <w:trPr>
          <w:trHeight w:val="375"/>
        </w:trPr>
        <w:tc>
          <w:tcPr>
            <w:tcW w:w="2547" w:type="dxa"/>
            <w:tcBorders>
              <w:top w:val="nil"/>
              <w:left w:val="single" w:sz="4" w:space="0" w:color="auto"/>
              <w:bottom w:val="nil"/>
              <w:right w:val="nil"/>
            </w:tcBorders>
            <w:shd w:val="clear" w:color="auto" w:fill="auto"/>
            <w:noWrap/>
            <w:vAlign w:val="center"/>
            <w:hideMark/>
          </w:tcPr>
          <w:p w:rsidR="00957916" w:rsidRPr="00957916" w:rsidRDefault="00957916" w:rsidP="00957916">
            <w:pPr>
              <w:spacing w:after="0" w:line="240" w:lineRule="auto"/>
              <w:rPr>
                <w:rFonts w:ascii="Calibri" w:eastAsia="Times New Roman" w:hAnsi="Calibri" w:cs="Arial"/>
                <w:b/>
                <w:bCs/>
                <w:color w:val="000000"/>
                <w:sz w:val="21"/>
                <w:szCs w:val="21"/>
                <w:lang w:eastAsia="en-AU"/>
              </w:rPr>
            </w:pPr>
            <w:r w:rsidRPr="00957916">
              <w:rPr>
                <w:rFonts w:ascii="Calibri" w:eastAsia="Times New Roman" w:hAnsi="Calibri" w:cs="Arial"/>
                <w:b/>
                <w:bCs/>
                <w:color w:val="000000"/>
                <w:sz w:val="21"/>
                <w:szCs w:val="21"/>
                <w:lang w:eastAsia="en-AU"/>
              </w:rPr>
              <w:t>Operating Working Capital to Sales</w:t>
            </w:r>
          </w:p>
        </w:tc>
        <w:tc>
          <w:tcPr>
            <w:tcW w:w="1276" w:type="dxa"/>
            <w:tcBorders>
              <w:top w:val="nil"/>
              <w:left w:val="nil"/>
              <w:bottom w:val="nil"/>
              <w:right w:val="nil"/>
            </w:tcBorders>
            <w:shd w:val="clear" w:color="auto" w:fill="auto"/>
            <w:noWrap/>
            <w:vAlign w:val="center"/>
            <w:hideMark/>
          </w:tcPr>
          <w:p w:rsidR="00957916" w:rsidRPr="00957916" w:rsidRDefault="00957916" w:rsidP="00957916">
            <w:pPr>
              <w:spacing w:after="0" w:line="240" w:lineRule="auto"/>
              <w:jc w:val="right"/>
              <w:rPr>
                <w:rFonts w:ascii="Calibri" w:eastAsia="Times New Roman" w:hAnsi="Calibri" w:cs="Arial"/>
                <w:bCs/>
                <w:color w:val="000000"/>
                <w:sz w:val="21"/>
                <w:szCs w:val="21"/>
                <w:lang w:eastAsia="en-AU"/>
              </w:rPr>
            </w:pPr>
            <w:r w:rsidRPr="00957916">
              <w:rPr>
                <w:rFonts w:ascii="Calibri" w:eastAsia="Times New Roman" w:hAnsi="Calibri" w:cs="Arial"/>
                <w:bCs/>
                <w:color w:val="000000"/>
                <w:sz w:val="21"/>
                <w:szCs w:val="21"/>
                <w:lang w:eastAsia="en-AU"/>
              </w:rPr>
              <w:t>3.3%</w:t>
            </w:r>
          </w:p>
        </w:tc>
        <w:tc>
          <w:tcPr>
            <w:tcW w:w="1275" w:type="dxa"/>
            <w:tcBorders>
              <w:top w:val="nil"/>
              <w:left w:val="nil"/>
              <w:bottom w:val="nil"/>
              <w:right w:val="nil"/>
            </w:tcBorders>
            <w:shd w:val="clear" w:color="auto" w:fill="auto"/>
            <w:noWrap/>
            <w:vAlign w:val="center"/>
            <w:hideMark/>
          </w:tcPr>
          <w:p w:rsidR="00957916" w:rsidRPr="00957916" w:rsidRDefault="00957916" w:rsidP="00957916">
            <w:pPr>
              <w:spacing w:after="0" w:line="240" w:lineRule="auto"/>
              <w:jc w:val="right"/>
              <w:rPr>
                <w:rFonts w:ascii="Calibri" w:eastAsia="Times New Roman" w:hAnsi="Calibri" w:cs="Arial"/>
                <w:bCs/>
                <w:color w:val="000000"/>
                <w:sz w:val="21"/>
                <w:szCs w:val="21"/>
                <w:lang w:eastAsia="en-AU"/>
              </w:rPr>
            </w:pPr>
            <w:r w:rsidRPr="00957916">
              <w:rPr>
                <w:rFonts w:ascii="Calibri" w:eastAsia="Times New Roman" w:hAnsi="Calibri" w:cs="Arial"/>
                <w:bCs/>
                <w:color w:val="000000"/>
                <w:sz w:val="21"/>
                <w:szCs w:val="21"/>
                <w:lang w:eastAsia="en-AU"/>
              </w:rPr>
              <w:t>3.3%</w:t>
            </w:r>
          </w:p>
        </w:tc>
        <w:tc>
          <w:tcPr>
            <w:tcW w:w="1276" w:type="dxa"/>
            <w:tcBorders>
              <w:top w:val="nil"/>
              <w:left w:val="nil"/>
              <w:bottom w:val="nil"/>
              <w:right w:val="nil"/>
            </w:tcBorders>
            <w:shd w:val="clear" w:color="auto" w:fill="auto"/>
            <w:noWrap/>
            <w:vAlign w:val="center"/>
            <w:hideMark/>
          </w:tcPr>
          <w:p w:rsidR="00957916" w:rsidRPr="00957916" w:rsidRDefault="00957916" w:rsidP="00957916">
            <w:pPr>
              <w:spacing w:after="0" w:line="240" w:lineRule="auto"/>
              <w:jc w:val="right"/>
              <w:rPr>
                <w:rFonts w:ascii="Calibri" w:eastAsia="Times New Roman" w:hAnsi="Calibri" w:cs="Arial"/>
                <w:bCs/>
                <w:color w:val="000000"/>
                <w:sz w:val="21"/>
                <w:szCs w:val="21"/>
                <w:lang w:eastAsia="en-AU"/>
              </w:rPr>
            </w:pPr>
            <w:r w:rsidRPr="00957916">
              <w:rPr>
                <w:rFonts w:ascii="Calibri" w:eastAsia="Times New Roman" w:hAnsi="Calibri" w:cs="Arial"/>
                <w:bCs/>
                <w:color w:val="000000"/>
                <w:sz w:val="21"/>
                <w:szCs w:val="21"/>
                <w:lang w:eastAsia="en-AU"/>
              </w:rPr>
              <w:t>3.3%</w:t>
            </w:r>
          </w:p>
        </w:tc>
        <w:tc>
          <w:tcPr>
            <w:tcW w:w="1276" w:type="dxa"/>
            <w:tcBorders>
              <w:top w:val="nil"/>
              <w:left w:val="nil"/>
              <w:bottom w:val="nil"/>
              <w:right w:val="nil"/>
            </w:tcBorders>
            <w:shd w:val="clear" w:color="auto" w:fill="auto"/>
            <w:noWrap/>
            <w:vAlign w:val="center"/>
            <w:hideMark/>
          </w:tcPr>
          <w:p w:rsidR="00957916" w:rsidRPr="00957916" w:rsidRDefault="00957916" w:rsidP="00957916">
            <w:pPr>
              <w:spacing w:after="0" w:line="240" w:lineRule="auto"/>
              <w:jc w:val="right"/>
              <w:rPr>
                <w:rFonts w:ascii="Calibri" w:eastAsia="Times New Roman" w:hAnsi="Calibri" w:cs="Arial"/>
                <w:bCs/>
                <w:color w:val="000000"/>
                <w:sz w:val="21"/>
                <w:szCs w:val="21"/>
                <w:lang w:eastAsia="en-AU"/>
              </w:rPr>
            </w:pPr>
            <w:r w:rsidRPr="00957916">
              <w:rPr>
                <w:rFonts w:ascii="Calibri" w:eastAsia="Times New Roman" w:hAnsi="Calibri" w:cs="Arial"/>
                <w:bCs/>
                <w:color w:val="000000"/>
                <w:sz w:val="21"/>
                <w:szCs w:val="21"/>
                <w:lang w:eastAsia="en-AU"/>
              </w:rPr>
              <w:t>3.3%</w:t>
            </w:r>
          </w:p>
        </w:tc>
        <w:tc>
          <w:tcPr>
            <w:tcW w:w="1276" w:type="dxa"/>
            <w:tcBorders>
              <w:top w:val="nil"/>
              <w:left w:val="nil"/>
              <w:bottom w:val="nil"/>
              <w:right w:val="single" w:sz="4" w:space="0" w:color="auto"/>
            </w:tcBorders>
            <w:shd w:val="clear" w:color="auto" w:fill="auto"/>
            <w:noWrap/>
            <w:vAlign w:val="center"/>
            <w:hideMark/>
          </w:tcPr>
          <w:p w:rsidR="00957916" w:rsidRPr="00957916" w:rsidRDefault="00957916" w:rsidP="00957916">
            <w:pPr>
              <w:spacing w:after="0" w:line="240" w:lineRule="auto"/>
              <w:jc w:val="right"/>
              <w:rPr>
                <w:rFonts w:ascii="Calibri" w:eastAsia="Times New Roman" w:hAnsi="Calibri" w:cs="Arial"/>
                <w:bCs/>
                <w:color w:val="000000"/>
                <w:sz w:val="21"/>
                <w:szCs w:val="21"/>
                <w:lang w:eastAsia="en-AU"/>
              </w:rPr>
            </w:pPr>
            <w:r w:rsidRPr="00957916">
              <w:rPr>
                <w:rFonts w:ascii="Calibri" w:eastAsia="Times New Roman" w:hAnsi="Calibri" w:cs="Arial"/>
                <w:bCs/>
                <w:color w:val="000000"/>
                <w:sz w:val="21"/>
                <w:szCs w:val="21"/>
                <w:lang w:eastAsia="en-AU"/>
              </w:rPr>
              <w:t>3.3%</w:t>
            </w:r>
          </w:p>
        </w:tc>
      </w:tr>
      <w:tr w:rsidR="00957916" w:rsidRPr="00957916" w:rsidTr="00957916">
        <w:trPr>
          <w:trHeight w:val="375"/>
        </w:trPr>
        <w:tc>
          <w:tcPr>
            <w:tcW w:w="2547" w:type="dxa"/>
            <w:tcBorders>
              <w:top w:val="nil"/>
              <w:left w:val="single" w:sz="4" w:space="0" w:color="auto"/>
              <w:bottom w:val="nil"/>
              <w:right w:val="nil"/>
            </w:tcBorders>
            <w:shd w:val="clear" w:color="auto" w:fill="auto"/>
            <w:noWrap/>
            <w:vAlign w:val="center"/>
            <w:hideMark/>
          </w:tcPr>
          <w:p w:rsidR="00957916" w:rsidRPr="00957916" w:rsidRDefault="00957916" w:rsidP="00957916">
            <w:pPr>
              <w:spacing w:after="0" w:line="240" w:lineRule="auto"/>
              <w:rPr>
                <w:rFonts w:ascii="Calibri" w:eastAsia="Times New Roman" w:hAnsi="Calibri" w:cs="Arial"/>
                <w:b/>
                <w:bCs/>
                <w:color w:val="000000"/>
                <w:sz w:val="21"/>
                <w:szCs w:val="21"/>
                <w:lang w:eastAsia="en-AU"/>
              </w:rPr>
            </w:pPr>
            <w:r w:rsidRPr="00957916">
              <w:rPr>
                <w:rFonts w:ascii="Calibri" w:eastAsia="Times New Roman" w:hAnsi="Calibri" w:cs="Arial"/>
                <w:b/>
                <w:bCs/>
                <w:color w:val="000000"/>
                <w:sz w:val="21"/>
                <w:szCs w:val="21"/>
                <w:lang w:eastAsia="en-AU"/>
              </w:rPr>
              <w:t>Fixed Assets to Sales</w:t>
            </w:r>
          </w:p>
        </w:tc>
        <w:tc>
          <w:tcPr>
            <w:tcW w:w="1276" w:type="dxa"/>
            <w:tcBorders>
              <w:top w:val="nil"/>
              <w:left w:val="nil"/>
              <w:bottom w:val="nil"/>
              <w:right w:val="nil"/>
            </w:tcBorders>
            <w:shd w:val="clear" w:color="auto" w:fill="auto"/>
            <w:noWrap/>
            <w:vAlign w:val="center"/>
            <w:hideMark/>
          </w:tcPr>
          <w:p w:rsidR="00957916" w:rsidRPr="00957916" w:rsidRDefault="00957916" w:rsidP="00957916">
            <w:pPr>
              <w:spacing w:after="0" w:line="240" w:lineRule="auto"/>
              <w:jc w:val="right"/>
              <w:rPr>
                <w:rFonts w:ascii="Calibri" w:eastAsia="Times New Roman" w:hAnsi="Calibri" w:cs="Arial"/>
                <w:bCs/>
                <w:color w:val="000000"/>
                <w:sz w:val="21"/>
                <w:szCs w:val="21"/>
                <w:lang w:eastAsia="en-AU"/>
              </w:rPr>
            </w:pPr>
            <w:r w:rsidRPr="00957916">
              <w:rPr>
                <w:rFonts w:ascii="Calibri" w:eastAsia="Times New Roman" w:hAnsi="Calibri" w:cs="Arial"/>
                <w:bCs/>
                <w:color w:val="000000"/>
                <w:sz w:val="21"/>
                <w:szCs w:val="21"/>
                <w:lang w:eastAsia="en-AU"/>
              </w:rPr>
              <w:t>21.5%</w:t>
            </w:r>
          </w:p>
        </w:tc>
        <w:tc>
          <w:tcPr>
            <w:tcW w:w="1275" w:type="dxa"/>
            <w:tcBorders>
              <w:top w:val="nil"/>
              <w:left w:val="nil"/>
              <w:bottom w:val="nil"/>
              <w:right w:val="nil"/>
            </w:tcBorders>
            <w:shd w:val="clear" w:color="auto" w:fill="auto"/>
            <w:noWrap/>
            <w:vAlign w:val="center"/>
            <w:hideMark/>
          </w:tcPr>
          <w:p w:rsidR="00957916" w:rsidRPr="00957916" w:rsidRDefault="00957916" w:rsidP="00957916">
            <w:pPr>
              <w:spacing w:after="0" w:line="240" w:lineRule="auto"/>
              <w:jc w:val="right"/>
              <w:rPr>
                <w:rFonts w:ascii="Calibri" w:eastAsia="Times New Roman" w:hAnsi="Calibri" w:cs="Arial"/>
                <w:bCs/>
                <w:color w:val="000000"/>
                <w:sz w:val="21"/>
                <w:szCs w:val="21"/>
                <w:lang w:eastAsia="en-AU"/>
              </w:rPr>
            </w:pPr>
            <w:r w:rsidRPr="00957916">
              <w:rPr>
                <w:rFonts w:ascii="Calibri" w:eastAsia="Times New Roman" w:hAnsi="Calibri" w:cs="Arial"/>
                <w:bCs/>
                <w:color w:val="000000"/>
                <w:sz w:val="21"/>
                <w:szCs w:val="21"/>
                <w:lang w:eastAsia="en-AU"/>
              </w:rPr>
              <w:t>20.5%</w:t>
            </w:r>
          </w:p>
        </w:tc>
        <w:tc>
          <w:tcPr>
            <w:tcW w:w="1276" w:type="dxa"/>
            <w:tcBorders>
              <w:top w:val="nil"/>
              <w:left w:val="nil"/>
              <w:bottom w:val="nil"/>
              <w:right w:val="nil"/>
            </w:tcBorders>
            <w:shd w:val="clear" w:color="auto" w:fill="auto"/>
            <w:noWrap/>
            <w:vAlign w:val="center"/>
            <w:hideMark/>
          </w:tcPr>
          <w:p w:rsidR="00957916" w:rsidRPr="00957916" w:rsidRDefault="00957916" w:rsidP="00957916">
            <w:pPr>
              <w:spacing w:after="0" w:line="240" w:lineRule="auto"/>
              <w:jc w:val="right"/>
              <w:rPr>
                <w:rFonts w:ascii="Calibri" w:eastAsia="Times New Roman" w:hAnsi="Calibri" w:cs="Arial"/>
                <w:bCs/>
                <w:color w:val="000000"/>
                <w:sz w:val="21"/>
                <w:szCs w:val="21"/>
                <w:lang w:eastAsia="en-AU"/>
              </w:rPr>
            </w:pPr>
            <w:r w:rsidRPr="00957916">
              <w:rPr>
                <w:rFonts w:ascii="Calibri" w:eastAsia="Times New Roman" w:hAnsi="Calibri" w:cs="Arial"/>
                <w:bCs/>
                <w:color w:val="000000"/>
                <w:sz w:val="21"/>
                <w:szCs w:val="21"/>
                <w:lang w:eastAsia="en-AU"/>
              </w:rPr>
              <w:t>19.0%</w:t>
            </w:r>
          </w:p>
        </w:tc>
        <w:tc>
          <w:tcPr>
            <w:tcW w:w="1276" w:type="dxa"/>
            <w:tcBorders>
              <w:top w:val="nil"/>
              <w:left w:val="nil"/>
              <w:bottom w:val="nil"/>
              <w:right w:val="nil"/>
            </w:tcBorders>
            <w:shd w:val="clear" w:color="auto" w:fill="auto"/>
            <w:noWrap/>
            <w:vAlign w:val="center"/>
            <w:hideMark/>
          </w:tcPr>
          <w:p w:rsidR="00957916" w:rsidRPr="00957916" w:rsidRDefault="00957916" w:rsidP="00957916">
            <w:pPr>
              <w:spacing w:after="0" w:line="240" w:lineRule="auto"/>
              <w:jc w:val="right"/>
              <w:rPr>
                <w:rFonts w:ascii="Calibri" w:eastAsia="Times New Roman" w:hAnsi="Calibri" w:cs="Arial"/>
                <w:bCs/>
                <w:color w:val="000000"/>
                <w:sz w:val="21"/>
                <w:szCs w:val="21"/>
                <w:lang w:eastAsia="en-AU"/>
              </w:rPr>
            </w:pPr>
            <w:r w:rsidRPr="00957916">
              <w:rPr>
                <w:rFonts w:ascii="Calibri" w:eastAsia="Times New Roman" w:hAnsi="Calibri" w:cs="Arial"/>
                <w:bCs/>
                <w:color w:val="000000"/>
                <w:sz w:val="21"/>
                <w:szCs w:val="21"/>
                <w:lang w:eastAsia="en-AU"/>
              </w:rPr>
              <w:t>18.0%</w:t>
            </w:r>
          </w:p>
        </w:tc>
        <w:tc>
          <w:tcPr>
            <w:tcW w:w="1276" w:type="dxa"/>
            <w:tcBorders>
              <w:top w:val="nil"/>
              <w:left w:val="nil"/>
              <w:bottom w:val="nil"/>
              <w:right w:val="single" w:sz="4" w:space="0" w:color="auto"/>
            </w:tcBorders>
            <w:shd w:val="clear" w:color="auto" w:fill="auto"/>
            <w:noWrap/>
            <w:vAlign w:val="center"/>
            <w:hideMark/>
          </w:tcPr>
          <w:p w:rsidR="00957916" w:rsidRPr="00957916" w:rsidRDefault="00957916" w:rsidP="00957916">
            <w:pPr>
              <w:spacing w:after="0" w:line="240" w:lineRule="auto"/>
              <w:jc w:val="right"/>
              <w:rPr>
                <w:rFonts w:ascii="Calibri" w:eastAsia="Times New Roman" w:hAnsi="Calibri" w:cs="Arial"/>
                <w:bCs/>
                <w:color w:val="000000"/>
                <w:sz w:val="21"/>
                <w:szCs w:val="21"/>
                <w:lang w:eastAsia="en-AU"/>
              </w:rPr>
            </w:pPr>
            <w:r w:rsidRPr="00957916">
              <w:rPr>
                <w:rFonts w:ascii="Calibri" w:eastAsia="Times New Roman" w:hAnsi="Calibri" w:cs="Arial"/>
                <w:bCs/>
                <w:color w:val="000000"/>
                <w:sz w:val="21"/>
                <w:szCs w:val="21"/>
                <w:lang w:eastAsia="en-AU"/>
              </w:rPr>
              <w:t>17.0%</w:t>
            </w:r>
          </w:p>
        </w:tc>
      </w:tr>
      <w:tr w:rsidR="00957916" w:rsidRPr="00957916" w:rsidTr="00957916">
        <w:trPr>
          <w:trHeight w:val="375"/>
        </w:trPr>
        <w:tc>
          <w:tcPr>
            <w:tcW w:w="2547" w:type="dxa"/>
            <w:tcBorders>
              <w:top w:val="nil"/>
              <w:left w:val="single" w:sz="4" w:space="0" w:color="auto"/>
              <w:bottom w:val="nil"/>
              <w:right w:val="nil"/>
            </w:tcBorders>
            <w:shd w:val="clear" w:color="auto" w:fill="auto"/>
            <w:noWrap/>
            <w:vAlign w:val="center"/>
            <w:hideMark/>
          </w:tcPr>
          <w:p w:rsidR="00957916" w:rsidRPr="00957916" w:rsidRDefault="00957916" w:rsidP="00957916">
            <w:pPr>
              <w:spacing w:after="0" w:line="240" w:lineRule="auto"/>
              <w:rPr>
                <w:rFonts w:ascii="Calibri" w:eastAsia="Times New Roman" w:hAnsi="Calibri" w:cs="Arial"/>
                <w:b/>
                <w:bCs/>
                <w:color w:val="000000"/>
                <w:sz w:val="21"/>
                <w:szCs w:val="21"/>
                <w:lang w:eastAsia="en-AU"/>
              </w:rPr>
            </w:pPr>
            <w:r w:rsidRPr="00957916">
              <w:rPr>
                <w:rFonts w:ascii="Calibri" w:eastAsia="Times New Roman" w:hAnsi="Calibri" w:cs="Arial"/>
                <w:b/>
                <w:bCs/>
                <w:color w:val="000000"/>
                <w:sz w:val="21"/>
                <w:szCs w:val="21"/>
                <w:lang w:eastAsia="en-AU"/>
              </w:rPr>
              <w:t>Dividend Payout ratio</w:t>
            </w:r>
          </w:p>
        </w:tc>
        <w:tc>
          <w:tcPr>
            <w:tcW w:w="1276" w:type="dxa"/>
            <w:tcBorders>
              <w:top w:val="nil"/>
              <w:left w:val="nil"/>
              <w:bottom w:val="nil"/>
              <w:right w:val="nil"/>
            </w:tcBorders>
            <w:shd w:val="clear" w:color="auto" w:fill="auto"/>
            <w:noWrap/>
            <w:vAlign w:val="center"/>
            <w:hideMark/>
          </w:tcPr>
          <w:p w:rsidR="00957916" w:rsidRPr="00957916" w:rsidRDefault="00957916" w:rsidP="00957916">
            <w:pPr>
              <w:spacing w:after="0" w:line="240" w:lineRule="auto"/>
              <w:jc w:val="right"/>
              <w:rPr>
                <w:rFonts w:ascii="Calibri" w:eastAsia="Times New Roman" w:hAnsi="Calibri" w:cs="Arial"/>
                <w:bCs/>
                <w:color w:val="000000"/>
                <w:sz w:val="21"/>
                <w:szCs w:val="21"/>
                <w:lang w:eastAsia="en-AU"/>
              </w:rPr>
            </w:pPr>
            <w:r w:rsidRPr="00957916">
              <w:rPr>
                <w:rFonts w:ascii="Calibri" w:eastAsia="Times New Roman" w:hAnsi="Calibri" w:cs="Arial"/>
                <w:bCs/>
                <w:color w:val="000000"/>
                <w:sz w:val="21"/>
                <w:szCs w:val="21"/>
                <w:lang w:eastAsia="en-AU"/>
              </w:rPr>
              <w:t>40.0%</w:t>
            </w:r>
          </w:p>
        </w:tc>
        <w:tc>
          <w:tcPr>
            <w:tcW w:w="1275" w:type="dxa"/>
            <w:tcBorders>
              <w:top w:val="nil"/>
              <w:left w:val="nil"/>
              <w:bottom w:val="nil"/>
              <w:right w:val="nil"/>
            </w:tcBorders>
            <w:shd w:val="clear" w:color="auto" w:fill="auto"/>
            <w:noWrap/>
            <w:vAlign w:val="center"/>
            <w:hideMark/>
          </w:tcPr>
          <w:p w:rsidR="00957916" w:rsidRPr="00957916" w:rsidRDefault="00957916" w:rsidP="00957916">
            <w:pPr>
              <w:spacing w:after="0" w:line="240" w:lineRule="auto"/>
              <w:jc w:val="right"/>
              <w:rPr>
                <w:rFonts w:ascii="Calibri" w:eastAsia="Times New Roman" w:hAnsi="Calibri" w:cs="Arial"/>
                <w:bCs/>
                <w:color w:val="000000"/>
                <w:sz w:val="21"/>
                <w:szCs w:val="21"/>
                <w:lang w:eastAsia="en-AU"/>
              </w:rPr>
            </w:pPr>
            <w:r w:rsidRPr="00957916">
              <w:rPr>
                <w:rFonts w:ascii="Calibri" w:eastAsia="Times New Roman" w:hAnsi="Calibri" w:cs="Arial"/>
                <w:bCs/>
                <w:color w:val="000000"/>
                <w:sz w:val="21"/>
                <w:szCs w:val="21"/>
                <w:lang w:eastAsia="en-AU"/>
              </w:rPr>
              <w:t>40.0%</w:t>
            </w:r>
          </w:p>
        </w:tc>
        <w:tc>
          <w:tcPr>
            <w:tcW w:w="1276" w:type="dxa"/>
            <w:tcBorders>
              <w:top w:val="nil"/>
              <w:left w:val="nil"/>
              <w:bottom w:val="nil"/>
              <w:right w:val="nil"/>
            </w:tcBorders>
            <w:shd w:val="clear" w:color="auto" w:fill="auto"/>
            <w:noWrap/>
            <w:vAlign w:val="center"/>
            <w:hideMark/>
          </w:tcPr>
          <w:p w:rsidR="00957916" w:rsidRPr="00957916" w:rsidRDefault="00957916" w:rsidP="00957916">
            <w:pPr>
              <w:spacing w:after="0" w:line="240" w:lineRule="auto"/>
              <w:jc w:val="right"/>
              <w:rPr>
                <w:rFonts w:ascii="Calibri" w:eastAsia="Times New Roman" w:hAnsi="Calibri" w:cs="Arial"/>
                <w:bCs/>
                <w:color w:val="000000"/>
                <w:sz w:val="21"/>
                <w:szCs w:val="21"/>
                <w:lang w:eastAsia="en-AU"/>
              </w:rPr>
            </w:pPr>
            <w:r w:rsidRPr="00957916">
              <w:rPr>
                <w:rFonts w:ascii="Calibri" w:eastAsia="Times New Roman" w:hAnsi="Calibri" w:cs="Arial"/>
                <w:bCs/>
                <w:color w:val="000000"/>
                <w:sz w:val="21"/>
                <w:szCs w:val="21"/>
                <w:lang w:eastAsia="en-AU"/>
              </w:rPr>
              <w:t>40.0%</w:t>
            </w:r>
          </w:p>
        </w:tc>
        <w:tc>
          <w:tcPr>
            <w:tcW w:w="1276" w:type="dxa"/>
            <w:tcBorders>
              <w:top w:val="nil"/>
              <w:left w:val="nil"/>
              <w:bottom w:val="nil"/>
              <w:right w:val="nil"/>
            </w:tcBorders>
            <w:shd w:val="clear" w:color="auto" w:fill="auto"/>
            <w:noWrap/>
            <w:vAlign w:val="center"/>
            <w:hideMark/>
          </w:tcPr>
          <w:p w:rsidR="00957916" w:rsidRPr="00957916" w:rsidRDefault="00957916" w:rsidP="00957916">
            <w:pPr>
              <w:spacing w:after="0" w:line="240" w:lineRule="auto"/>
              <w:jc w:val="right"/>
              <w:rPr>
                <w:rFonts w:ascii="Calibri" w:eastAsia="Times New Roman" w:hAnsi="Calibri" w:cs="Arial"/>
                <w:bCs/>
                <w:color w:val="000000"/>
                <w:sz w:val="21"/>
                <w:szCs w:val="21"/>
                <w:lang w:eastAsia="en-AU"/>
              </w:rPr>
            </w:pPr>
            <w:r w:rsidRPr="00957916">
              <w:rPr>
                <w:rFonts w:ascii="Calibri" w:eastAsia="Times New Roman" w:hAnsi="Calibri" w:cs="Arial"/>
                <w:bCs/>
                <w:color w:val="000000"/>
                <w:sz w:val="21"/>
                <w:szCs w:val="21"/>
                <w:lang w:eastAsia="en-AU"/>
              </w:rPr>
              <w:t>40.0%</w:t>
            </w:r>
          </w:p>
        </w:tc>
        <w:tc>
          <w:tcPr>
            <w:tcW w:w="1276" w:type="dxa"/>
            <w:tcBorders>
              <w:top w:val="nil"/>
              <w:left w:val="nil"/>
              <w:bottom w:val="nil"/>
              <w:right w:val="single" w:sz="4" w:space="0" w:color="auto"/>
            </w:tcBorders>
            <w:shd w:val="clear" w:color="auto" w:fill="auto"/>
            <w:noWrap/>
            <w:vAlign w:val="center"/>
            <w:hideMark/>
          </w:tcPr>
          <w:p w:rsidR="00957916" w:rsidRPr="00957916" w:rsidRDefault="00957916" w:rsidP="00957916">
            <w:pPr>
              <w:spacing w:after="0" w:line="240" w:lineRule="auto"/>
              <w:jc w:val="right"/>
              <w:rPr>
                <w:rFonts w:ascii="Calibri" w:eastAsia="Times New Roman" w:hAnsi="Calibri" w:cs="Arial"/>
                <w:bCs/>
                <w:color w:val="000000"/>
                <w:sz w:val="21"/>
                <w:szCs w:val="21"/>
                <w:lang w:eastAsia="en-AU"/>
              </w:rPr>
            </w:pPr>
            <w:r w:rsidRPr="00957916">
              <w:rPr>
                <w:rFonts w:ascii="Calibri" w:eastAsia="Times New Roman" w:hAnsi="Calibri" w:cs="Arial"/>
                <w:bCs/>
                <w:color w:val="000000"/>
                <w:sz w:val="21"/>
                <w:szCs w:val="21"/>
                <w:lang w:eastAsia="en-AU"/>
              </w:rPr>
              <w:t>40.0%</w:t>
            </w:r>
          </w:p>
        </w:tc>
      </w:tr>
      <w:tr w:rsidR="00957916" w:rsidRPr="00957916" w:rsidTr="00957916">
        <w:trPr>
          <w:trHeight w:val="375"/>
        </w:trPr>
        <w:tc>
          <w:tcPr>
            <w:tcW w:w="2547" w:type="dxa"/>
            <w:tcBorders>
              <w:top w:val="nil"/>
              <w:left w:val="single" w:sz="4" w:space="0" w:color="auto"/>
              <w:bottom w:val="nil"/>
              <w:right w:val="nil"/>
            </w:tcBorders>
            <w:shd w:val="clear" w:color="auto" w:fill="auto"/>
            <w:noWrap/>
            <w:vAlign w:val="center"/>
            <w:hideMark/>
          </w:tcPr>
          <w:p w:rsidR="00957916" w:rsidRPr="00957916" w:rsidRDefault="00957916" w:rsidP="00957916">
            <w:pPr>
              <w:spacing w:after="0" w:line="240" w:lineRule="auto"/>
              <w:rPr>
                <w:rFonts w:ascii="Calibri" w:eastAsia="Times New Roman" w:hAnsi="Calibri" w:cs="Arial"/>
                <w:b/>
                <w:bCs/>
                <w:color w:val="000000"/>
                <w:sz w:val="21"/>
                <w:szCs w:val="21"/>
                <w:lang w:eastAsia="en-AU"/>
              </w:rPr>
            </w:pPr>
            <w:r w:rsidRPr="00957916">
              <w:rPr>
                <w:rFonts w:ascii="Calibri" w:eastAsia="Times New Roman" w:hAnsi="Calibri" w:cs="Arial"/>
                <w:b/>
                <w:bCs/>
                <w:color w:val="000000"/>
                <w:sz w:val="21"/>
                <w:szCs w:val="21"/>
                <w:lang w:eastAsia="en-AU"/>
              </w:rPr>
              <w:t>Net Debt to Equity ratio</w:t>
            </w:r>
          </w:p>
        </w:tc>
        <w:tc>
          <w:tcPr>
            <w:tcW w:w="1276" w:type="dxa"/>
            <w:tcBorders>
              <w:top w:val="nil"/>
              <w:left w:val="nil"/>
              <w:bottom w:val="nil"/>
              <w:right w:val="nil"/>
            </w:tcBorders>
            <w:shd w:val="clear" w:color="auto" w:fill="auto"/>
            <w:noWrap/>
            <w:vAlign w:val="center"/>
            <w:hideMark/>
          </w:tcPr>
          <w:p w:rsidR="00957916" w:rsidRPr="00957916" w:rsidRDefault="00957916" w:rsidP="00957916">
            <w:pPr>
              <w:spacing w:after="0" w:line="240" w:lineRule="auto"/>
              <w:jc w:val="right"/>
              <w:rPr>
                <w:rFonts w:ascii="Calibri" w:eastAsia="Times New Roman" w:hAnsi="Calibri" w:cs="Arial"/>
                <w:bCs/>
                <w:color w:val="000000"/>
                <w:sz w:val="21"/>
                <w:szCs w:val="21"/>
                <w:lang w:eastAsia="en-AU"/>
              </w:rPr>
            </w:pPr>
            <w:r w:rsidRPr="00957916">
              <w:rPr>
                <w:rFonts w:ascii="Calibri" w:eastAsia="Times New Roman" w:hAnsi="Calibri" w:cs="Arial"/>
                <w:bCs/>
                <w:color w:val="000000"/>
                <w:sz w:val="21"/>
                <w:szCs w:val="21"/>
                <w:lang w:eastAsia="en-AU"/>
              </w:rPr>
              <w:t>9.0%</w:t>
            </w:r>
          </w:p>
        </w:tc>
        <w:tc>
          <w:tcPr>
            <w:tcW w:w="1275" w:type="dxa"/>
            <w:tcBorders>
              <w:top w:val="nil"/>
              <w:left w:val="nil"/>
              <w:bottom w:val="nil"/>
              <w:right w:val="nil"/>
            </w:tcBorders>
            <w:shd w:val="clear" w:color="auto" w:fill="auto"/>
            <w:noWrap/>
            <w:vAlign w:val="center"/>
            <w:hideMark/>
          </w:tcPr>
          <w:p w:rsidR="00957916" w:rsidRPr="00957916" w:rsidRDefault="00957916" w:rsidP="00957916">
            <w:pPr>
              <w:spacing w:after="0" w:line="240" w:lineRule="auto"/>
              <w:jc w:val="right"/>
              <w:rPr>
                <w:rFonts w:ascii="Calibri" w:eastAsia="Times New Roman" w:hAnsi="Calibri" w:cs="Arial"/>
                <w:bCs/>
                <w:color w:val="000000"/>
                <w:sz w:val="21"/>
                <w:szCs w:val="21"/>
                <w:lang w:eastAsia="en-AU"/>
              </w:rPr>
            </w:pPr>
            <w:r w:rsidRPr="00957916">
              <w:rPr>
                <w:rFonts w:ascii="Calibri" w:eastAsia="Times New Roman" w:hAnsi="Calibri" w:cs="Arial"/>
                <w:bCs/>
                <w:color w:val="000000"/>
                <w:sz w:val="21"/>
                <w:szCs w:val="21"/>
                <w:lang w:eastAsia="en-AU"/>
              </w:rPr>
              <w:t>9.0%</w:t>
            </w:r>
          </w:p>
        </w:tc>
        <w:tc>
          <w:tcPr>
            <w:tcW w:w="1276" w:type="dxa"/>
            <w:tcBorders>
              <w:top w:val="nil"/>
              <w:left w:val="nil"/>
              <w:bottom w:val="nil"/>
              <w:right w:val="nil"/>
            </w:tcBorders>
            <w:shd w:val="clear" w:color="auto" w:fill="auto"/>
            <w:noWrap/>
            <w:vAlign w:val="center"/>
            <w:hideMark/>
          </w:tcPr>
          <w:p w:rsidR="00957916" w:rsidRPr="00957916" w:rsidRDefault="00957916" w:rsidP="00957916">
            <w:pPr>
              <w:spacing w:after="0" w:line="240" w:lineRule="auto"/>
              <w:jc w:val="right"/>
              <w:rPr>
                <w:rFonts w:ascii="Calibri" w:eastAsia="Times New Roman" w:hAnsi="Calibri" w:cs="Arial"/>
                <w:bCs/>
                <w:color w:val="000000"/>
                <w:sz w:val="21"/>
                <w:szCs w:val="21"/>
                <w:lang w:eastAsia="en-AU"/>
              </w:rPr>
            </w:pPr>
            <w:r w:rsidRPr="00957916">
              <w:rPr>
                <w:rFonts w:ascii="Calibri" w:eastAsia="Times New Roman" w:hAnsi="Calibri" w:cs="Arial"/>
                <w:bCs/>
                <w:color w:val="000000"/>
                <w:sz w:val="21"/>
                <w:szCs w:val="21"/>
                <w:lang w:eastAsia="en-AU"/>
              </w:rPr>
              <w:t>9.0%</w:t>
            </w:r>
          </w:p>
        </w:tc>
        <w:tc>
          <w:tcPr>
            <w:tcW w:w="1276" w:type="dxa"/>
            <w:tcBorders>
              <w:top w:val="nil"/>
              <w:left w:val="nil"/>
              <w:bottom w:val="nil"/>
              <w:right w:val="nil"/>
            </w:tcBorders>
            <w:shd w:val="clear" w:color="auto" w:fill="auto"/>
            <w:noWrap/>
            <w:vAlign w:val="center"/>
            <w:hideMark/>
          </w:tcPr>
          <w:p w:rsidR="00957916" w:rsidRPr="00957916" w:rsidRDefault="00957916" w:rsidP="00957916">
            <w:pPr>
              <w:spacing w:after="0" w:line="240" w:lineRule="auto"/>
              <w:jc w:val="right"/>
              <w:rPr>
                <w:rFonts w:ascii="Calibri" w:eastAsia="Times New Roman" w:hAnsi="Calibri" w:cs="Arial"/>
                <w:bCs/>
                <w:color w:val="000000"/>
                <w:sz w:val="21"/>
                <w:szCs w:val="21"/>
                <w:lang w:eastAsia="en-AU"/>
              </w:rPr>
            </w:pPr>
            <w:r w:rsidRPr="00957916">
              <w:rPr>
                <w:rFonts w:ascii="Calibri" w:eastAsia="Times New Roman" w:hAnsi="Calibri" w:cs="Arial"/>
                <w:bCs/>
                <w:color w:val="000000"/>
                <w:sz w:val="21"/>
                <w:szCs w:val="21"/>
                <w:lang w:eastAsia="en-AU"/>
              </w:rPr>
              <w:t>8.5%</w:t>
            </w:r>
          </w:p>
        </w:tc>
        <w:tc>
          <w:tcPr>
            <w:tcW w:w="1276" w:type="dxa"/>
            <w:tcBorders>
              <w:top w:val="nil"/>
              <w:left w:val="nil"/>
              <w:bottom w:val="nil"/>
              <w:right w:val="single" w:sz="4" w:space="0" w:color="auto"/>
            </w:tcBorders>
            <w:shd w:val="clear" w:color="auto" w:fill="auto"/>
            <w:noWrap/>
            <w:vAlign w:val="center"/>
            <w:hideMark/>
          </w:tcPr>
          <w:p w:rsidR="00957916" w:rsidRPr="00957916" w:rsidRDefault="00957916" w:rsidP="00957916">
            <w:pPr>
              <w:spacing w:after="0" w:line="240" w:lineRule="auto"/>
              <w:jc w:val="right"/>
              <w:rPr>
                <w:rFonts w:ascii="Calibri" w:eastAsia="Times New Roman" w:hAnsi="Calibri" w:cs="Arial"/>
                <w:bCs/>
                <w:color w:val="000000"/>
                <w:sz w:val="21"/>
                <w:szCs w:val="21"/>
                <w:lang w:eastAsia="en-AU"/>
              </w:rPr>
            </w:pPr>
            <w:r w:rsidRPr="00957916">
              <w:rPr>
                <w:rFonts w:ascii="Calibri" w:eastAsia="Times New Roman" w:hAnsi="Calibri" w:cs="Arial"/>
                <w:bCs/>
                <w:color w:val="000000"/>
                <w:sz w:val="21"/>
                <w:szCs w:val="21"/>
                <w:lang w:eastAsia="en-AU"/>
              </w:rPr>
              <w:t>8.0%</w:t>
            </w:r>
          </w:p>
        </w:tc>
      </w:tr>
      <w:tr w:rsidR="00957916" w:rsidRPr="00957916" w:rsidTr="00957916">
        <w:trPr>
          <w:trHeight w:val="375"/>
        </w:trPr>
        <w:tc>
          <w:tcPr>
            <w:tcW w:w="2547" w:type="dxa"/>
            <w:tcBorders>
              <w:top w:val="nil"/>
              <w:left w:val="single" w:sz="4" w:space="0" w:color="auto"/>
              <w:bottom w:val="single" w:sz="4" w:space="0" w:color="auto"/>
              <w:right w:val="nil"/>
            </w:tcBorders>
            <w:shd w:val="clear" w:color="auto" w:fill="auto"/>
            <w:noWrap/>
            <w:vAlign w:val="center"/>
            <w:hideMark/>
          </w:tcPr>
          <w:p w:rsidR="00957916" w:rsidRPr="00957916" w:rsidRDefault="00957916" w:rsidP="00957916">
            <w:pPr>
              <w:spacing w:after="0" w:line="240" w:lineRule="auto"/>
              <w:rPr>
                <w:rFonts w:ascii="Calibri" w:eastAsia="Times New Roman" w:hAnsi="Calibri" w:cs="Arial"/>
                <w:b/>
                <w:bCs/>
                <w:color w:val="000000"/>
                <w:sz w:val="21"/>
                <w:szCs w:val="21"/>
                <w:lang w:eastAsia="en-AU"/>
              </w:rPr>
            </w:pPr>
            <w:r w:rsidRPr="00957916">
              <w:rPr>
                <w:rFonts w:ascii="Calibri" w:eastAsia="Times New Roman" w:hAnsi="Calibri" w:cs="Arial"/>
                <w:b/>
                <w:bCs/>
                <w:color w:val="000000"/>
                <w:sz w:val="21"/>
                <w:szCs w:val="21"/>
                <w:lang w:eastAsia="en-AU"/>
              </w:rPr>
              <w:t>Interest Coverage ratio</w:t>
            </w:r>
          </w:p>
        </w:tc>
        <w:tc>
          <w:tcPr>
            <w:tcW w:w="1276" w:type="dxa"/>
            <w:tcBorders>
              <w:top w:val="nil"/>
              <w:left w:val="nil"/>
              <w:bottom w:val="single" w:sz="4" w:space="0" w:color="auto"/>
              <w:right w:val="nil"/>
            </w:tcBorders>
            <w:shd w:val="clear" w:color="auto" w:fill="auto"/>
            <w:noWrap/>
            <w:vAlign w:val="center"/>
            <w:hideMark/>
          </w:tcPr>
          <w:p w:rsidR="00957916" w:rsidRPr="00957916" w:rsidRDefault="00957916" w:rsidP="00957916">
            <w:pPr>
              <w:spacing w:after="0" w:line="240" w:lineRule="auto"/>
              <w:jc w:val="right"/>
              <w:rPr>
                <w:rFonts w:ascii="Calibri" w:eastAsia="Times New Roman" w:hAnsi="Calibri" w:cs="Arial"/>
                <w:bCs/>
                <w:color w:val="000000"/>
                <w:sz w:val="21"/>
                <w:szCs w:val="21"/>
                <w:lang w:eastAsia="en-AU"/>
              </w:rPr>
            </w:pPr>
            <w:r w:rsidRPr="00957916">
              <w:rPr>
                <w:rFonts w:ascii="Calibri" w:eastAsia="Times New Roman" w:hAnsi="Calibri" w:cs="Arial"/>
                <w:bCs/>
                <w:color w:val="000000"/>
                <w:sz w:val="21"/>
                <w:szCs w:val="21"/>
                <w:lang w:eastAsia="en-AU"/>
              </w:rPr>
              <w:t>62.44</w:t>
            </w:r>
          </w:p>
        </w:tc>
        <w:tc>
          <w:tcPr>
            <w:tcW w:w="1275" w:type="dxa"/>
            <w:tcBorders>
              <w:top w:val="nil"/>
              <w:left w:val="nil"/>
              <w:bottom w:val="single" w:sz="4" w:space="0" w:color="auto"/>
              <w:right w:val="nil"/>
            </w:tcBorders>
            <w:shd w:val="clear" w:color="auto" w:fill="auto"/>
            <w:noWrap/>
            <w:vAlign w:val="center"/>
            <w:hideMark/>
          </w:tcPr>
          <w:p w:rsidR="00957916" w:rsidRPr="00957916" w:rsidRDefault="00957916" w:rsidP="00957916">
            <w:pPr>
              <w:spacing w:after="0" w:line="240" w:lineRule="auto"/>
              <w:jc w:val="right"/>
              <w:rPr>
                <w:rFonts w:ascii="Calibri" w:eastAsia="Times New Roman" w:hAnsi="Calibri" w:cs="Arial"/>
                <w:bCs/>
                <w:color w:val="000000"/>
                <w:sz w:val="21"/>
                <w:szCs w:val="21"/>
                <w:lang w:eastAsia="en-AU"/>
              </w:rPr>
            </w:pPr>
            <w:r w:rsidRPr="00957916">
              <w:rPr>
                <w:rFonts w:ascii="Calibri" w:eastAsia="Times New Roman" w:hAnsi="Calibri" w:cs="Arial"/>
                <w:bCs/>
                <w:color w:val="000000"/>
                <w:sz w:val="21"/>
                <w:szCs w:val="21"/>
                <w:lang w:eastAsia="en-AU"/>
              </w:rPr>
              <w:t>98.48</w:t>
            </w:r>
          </w:p>
        </w:tc>
        <w:tc>
          <w:tcPr>
            <w:tcW w:w="1276" w:type="dxa"/>
            <w:tcBorders>
              <w:top w:val="nil"/>
              <w:left w:val="nil"/>
              <w:bottom w:val="single" w:sz="4" w:space="0" w:color="auto"/>
              <w:right w:val="nil"/>
            </w:tcBorders>
            <w:shd w:val="clear" w:color="auto" w:fill="auto"/>
            <w:noWrap/>
            <w:vAlign w:val="center"/>
            <w:hideMark/>
          </w:tcPr>
          <w:p w:rsidR="00957916" w:rsidRPr="00957916" w:rsidRDefault="00957916" w:rsidP="00957916">
            <w:pPr>
              <w:spacing w:after="0" w:line="240" w:lineRule="auto"/>
              <w:jc w:val="right"/>
              <w:rPr>
                <w:rFonts w:ascii="Calibri" w:eastAsia="Times New Roman" w:hAnsi="Calibri" w:cs="Arial"/>
                <w:bCs/>
                <w:color w:val="000000"/>
                <w:sz w:val="21"/>
                <w:szCs w:val="21"/>
                <w:lang w:eastAsia="en-AU"/>
              </w:rPr>
            </w:pPr>
            <w:r w:rsidRPr="00957916">
              <w:rPr>
                <w:rFonts w:ascii="Calibri" w:eastAsia="Times New Roman" w:hAnsi="Calibri" w:cs="Arial"/>
                <w:bCs/>
                <w:color w:val="000000"/>
                <w:sz w:val="21"/>
                <w:szCs w:val="21"/>
                <w:lang w:eastAsia="en-AU"/>
              </w:rPr>
              <w:t>98.97</w:t>
            </w:r>
          </w:p>
        </w:tc>
        <w:tc>
          <w:tcPr>
            <w:tcW w:w="1276" w:type="dxa"/>
            <w:tcBorders>
              <w:top w:val="nil"/>
              <w:left w:val="nil"/>
              <w:bottom w:val="single" w:sz="4" w:space="0" w:color="auto"/>
              <w:right w:val="nil"/>
            </w:tcBorders>
            <w:shd w:val="clear" w:color="auto" w:fill="auto"/>
            <w:noWrap/>
            <w:vAlign w:val="center"/>
            <w:hideMark/>
          </w:tcPr>
          <w:p w:rsidR="00957916" w:rsidRPr="00957916" w:rsidRDefault="00957916" w:rsidP="00957916">
            <w:pPr>
              <w:spacing w:after="0" w:line="240" w:lineRule="auto"/>
              <w:jc w:val="right"/>
              <w:rPr>
                <w:rFonts w:ascii="Calibri" w:eastAsia="Times New Roman" w:hAnsi="Calibri" w:cs="Arial"/>
                <w:bCs/>
                <w:color w:val="000000"/>
                <w:sz w:val="21"/>
                <w:szCs w:val="21"/>
                <w:lang w:eastAsia="en-AU"/>
              </w:rPr>
            </w:pPr>
            <w:r w:rsidRPr="00957916">
              <w:rPr>
                <w:rFonts w:ascii="Calibri" w:eastAsia="Times New Roman" w:hAnsi="Calibri" w:cs="Arial"/>
                <w:bCs/>
                <w:color w:val="000000"/>
                <w:sz w:val="21"/>
                <w:szCs w:val="21"/>
                <w:lang w:eastAsia="en-AU"/>
              </w:rPr>
              <w:t>87.75</w:t>
            </w:r>
          </w:p>
        </w:tc>
        <w:tc>
          <w:tcPr>
            <w:tcW w:w="1276" w:type="dxa"/>
            <w:tcBorders>
              <w:top w:val="nil"/>
              <w:left w:val="nil"/>
              <w:bottom w:val="single" w:sz="4" w:space="0" w:color="auto"/>
              <w:right w:val="single" w:sz="4" w:space="0" w:color="auto"/>
            </w:tcBorders>
            <w:shd w:val="clear" w:color="auto" w:fill="auto"/>
            <w:noWrap/>
            <w:vAlign w:val="center"/>
            <w:hideMark/>
          </w:tcPr>
          <w:p w:rsidR="00957916" w:rsidRPr="00957916" w:rsidRDefault="00957916" w:rsidP="00957916">
            <w:pPr>
              <w:spacing w:after="0" w:line="240" w:lineRule="auto"/>
              <w:jc w:val="right"/>
              <w:rPr>
                <w:rFonts w:ascii="Calibri" w:eastAsia="Times New Roman" w:hAnsi="Calibri" w:cs="Arial"/>
                <w:bCs/>
                <w:color w:val="000000"/>
                <w:sz w:val="21"/>
                <w:szCs w:val="21"/>
                <w:lang w:eastAsia="en-AU"/>
              </w:rPr>
            </w:pPr>
            <w:r w:rsidRPr="00957916">
              <w:rPr>
                <w:rFonts w:ascii="Calibri" w:eastAsia="Times New Roman" w:hAnsi="Calibri" w:cs="Arial"/>
                <w:bCs/>
                <w:color w:val="000000"/>
                <w:sz w:val="21"/>
                <w:szCs w:val="21"/>
                <w:lang w:eastAsia="en-AU"/>
              </w:rPr>
              <w:t>87.95</w:t>
            </w:r>
          </w:p>
        </w:tc>
      </w:tr>
    </w:tbl>
    <w:p w:rsidR="00BF1DE3" w:rsidRDefault="00BF1DE3" w:rsidP="00BF1DE3">
      <w:pPr>
        <w:pStyle w:val="a6"/>
        <w:spacing w:line="360" w:lineRule="auto"/>
        <w:ind w:left="360"/>
        <w:rPr>
          <w:color w:val="262626" w:themeColor="text1" w:themeTint="D9"/>
          <w:sz w:val="24"/>
          <w:szCs w:val="24"/>
        </w:rPr>
      </w:pPr>
    </w:p>
    <w:p w:rsidR="00945FF5" w:rsidRPr="00084896" w:rsidRDefault="00084896" w:rsidP="00084896">
      <w:pPr>
        <w:spacing w:line="360" w:lineRule="auto"/>
        <w:rPr>
          <w:color w:val="262626" w:themeColor="text1" w:themeTint="D9"/>
          <w:sz w:val="24"/>
          <w:szCs w:val="24"/>
        </w:rPr>
      </w:pPr>
      <w:r w:rsidRPr="00084896">
        <w:rPr>
          <w:color w:val="262626" w:themeColor="text1" w:themeTint="D9"/>
          <w:sz w:val="24"/>
          <w:szCs w:val="24"/>
        </w:rPr>
        <w:t>Each of the key items for both the income statement and balance sheet are listed above and were forecasted using information provided in the annual report, and assisted by the Strategy, Accounting and Financial Analysis performed in the group report.</w:t>
      </w:r>
    </w:p>
    <w:p w:rsidR="00084896" w:rsidRDefault="00084896" w:rsidP="00BF1DE3">
      <w:pPr>
        <w:pStyle w:val="a6"/>
        <w:spacing w:line="360" w:lineRule="auto"/>
        <w:ind w:left="360"/>
        <w:rPr>
          <w:color w:val="262626" w:themeColor="text1" w:themeTint="D9"/>
          <w:sz w:val="24"/>
          <w:szCs w:val="24"/>
        </w:rPr>
      </w:pPr>
    </w:p>
    <w:p w:rsidR="00593005" w:rsidRPr="005B6039" w:rsidRDefault="00593005" w:rsidP="00593005">
      <w:pPr>
        <w:pStyle w:val="3"/>
        <w:rPr>
          <w:sz w:val="28"/>
        </w:rPr>
      </w:pPr>
      <w:bookmarkStart w:id="3" w:name="_Toc420625241"/>
      <w:r w:rsidRPr="005B6039">
        <w:rPr>
          <w:sz w:val="28"/>
        </w:rPr>
        <w:lastRenderedPageBreak/>
        <w:t>Income Statement and Balance Sheet</w:t>
      </w:r>
      <w:bookmarkEnd w:id="3"/>
    </w:p>
    <w:p w:rsidR="00084896" w:rsidRPr="00084896" w:rsidRDefault="00106158" w:rsidP="00084896">
      <w:pPr>
        <w:spacing w:line="360" w:lineRule="auto"/>
        <w:rPr>
          <w:color w:val="262626" w:themeColor="text1" w:themeTint="D9"/>
          <w:sz w:val="24"/>
          <w:szCs w:val="24"/>
        </w:rPr>
      </w:pPr>
      <w:r>
        <w:rPr>
          <w:color w:val="262626" w:themeColor="text1" w:themeTint="D9"/>
          <w:sz w:val="24"/>
          <w:szCs w:val="24"/>
        </w:rPr>
        <w:t xml:space="preserve">Refer to Appendix A for the </w:t>
      </w:r>
      <w:r w:rsidR="00084896" w:rsidRPr="00084896">
        <w:rPr>
          <w:color w:val="262626" w:themeColor="text1" w:themeTint="D9"/>
          <w:sz w:val="24"/>
          <w:szCs w:val="24"/>
        </w:rPr>
        <w:t>condensed income statement and balance sheet.</w:t>
      </w:r>
    </w:p>
    <w:p w:rsidR="00781B94" w:rsidRPr="005B6039" w:rsidRDefault="00781B94" w:rsidP="00593005">
      <w:pPr>
        <w:pStyle w:val="3"/>
        <w:rPr>
          <w:sz w:val="28"/>
        </w:rPr>
      </w:pPr>
      <w:bookmarkStart w:id="4" w:name="_Toc420625242"/>
      <w:r w:rsidRPr="005B6039">
        <w:rPr>
          <w:sz w:val="28"/>
        </w:rPr>
        <w:t>Forecast assumptions</w:t>
      </w:r>
      <w:bookmarkEnd w:id="4"/>
      <w:r w:rsidR="00106158" w:rsidRPr="005B6039">
        <w:rPr>
          <w:sz w:val="28"/>
        </w:rPr>
        <w:t xml:space="preserve"> for key items</w:t>
      </w:r>
    </w:p>
    <w:p w:rsidR="00DA3172" w:rsidRDefault="00781B94" w:rsidP="00593005">
      <w:pPr>
        <w:pStyle w:val="4"/>
      </w:pPr>
      <w:r w:rsidRPr="00593005">
        <w:t>Income</w:t>
      </w:r>
      <w:r w:rsidRPr="00781B94">
        <w:t xml:space="preserve"> Statement</w:t>
      </w:r>
    </w:p>
    <w:p w:rsidR="00106158" w:rsidRDefault="00DA3172" w:rsidP="00781B94">
      <w:pPr>
        <w:spacing w:line="360" w:lineRule="auto"/>
        <w:rPr>
          <w:color w:val="262626" w:themeColor="text1" w:themeTint="D9"/>
          <w:sz w:val="24"/>
        </w:rPr>
      </w:pPr>
      <w:r w:rsidRPr="00106158">
        <w:rPr>
          <w:b/>
          <w:color w:val="262626" w:themeColor="text1" w:themeTint="D9"/>
          <w:sz w:val="24"/>
        </w:rPr>
        <w:t>Sales Growth</w:t>
      </w:r>
      <w:r>
        <w:rPr>
          <w:color w:val="262626" w:themeColor="text1" w:themeTint="D9"/>
          <w:sz w:val="24"/>
        </w:rPr>
        <w:t xml:space="preserve"> –</w:t>
      </w:r>
      <w:r w:rsidR="00106158">
        <w:rPr>
          <w:color w:val="262626" w:themeColor="text1" w:themeTint="D9"/>
          <w:sz w:val="24"/>
        </w:rPr>
        <w:t xml:space="preserve"> As per the strategy analysis, Fairfax has been going through a transition in its strategy of moving towards digital business over the traditional print media that it has dominated in the past. The declining print business was the reason for negative sales growth over the last few years evident in annual reports, though this figure has been increasing more recently. Due to the successful implementation of their new digital strategy, it is assumed that Fairfax’s sales growth will become positive once again over the forecast.</w:t>
      </w:r>
    </w:p>
    <w:p w:rsidR="00DA3172" w:rsidRDefault="00DA3172" w:rsidP="00781B94">
      <w:pPr>
        <w:spacing w:line="360" w:lineRule="auto"/>
        <w:rPr>
          <w:color w:val="262626" w:themeColor="text1" w:themeTint="D9"/>
          <w:sz w:val="24"/>
        </w:rPr>
      </w:pPr>
      <w:r w:rsidRPr="00106158">
        <w:rPr>
          <w:b/>
          <w:color w:val="262626" w:themeColor="text1" w:themeTint="D9"/>
          <w:sz w:val="24"/>
        </w:rPr>
        <w:t>COGS</w:t>
      </w:r>
      <w:r>
        <w:rPr>
          <w:color w:val="262626" w:themeColor="text1" w:themeTint="D9"/>
          <w:sz w:val="24"/>
        </w:rPr>
        <w:t xml:space="preserve"> – </w:t>
      </w:r>
      <w:r w:rsidR="00106158">
        <w:rPr>
          <w:color w:val="262626" w:themeColor="text1" w:themeTint="D9"/>
          <w:sz w:val="24"/>
        </w:rPr>
        <w:t>Also due to Fairfax’s strategy change towards a digital focus, COGS will be decreasing over the forecast due to the significantly reduced cost of producing a digital, intangible service over the physical print product.</w:t>
      </w:r>
    </w:p>
    <w:p w:rsidR="00DA3172" w:rsidRDefault="00B40BCA" w:rsidP="00781B94">
      <w:pPr>
        <w:spacing w:line="360" w:lineRule="auto"/>
        <w:rPr>
          <w:color w:val="262626" w:themeColor="text1" w:themeTint="D9"/>
          <w:sz w:val="24"/>
        </w:rPr>
      </w:pPr>
      <w:r>
        <w:rPr>
          <w:b/>
          <w:color w:val="262626" w:themeColor="text1" w:themeTint="D9"/>
          <w:sz w:val="24"/>
        </w:rPr>
        <w:t>Interest r</w:t>
      </w:r>
      <w:r w:rsidR="00DA3172" w:rsidRPr="00106158">
        <w:rPr>
          <w:b/>
          <w:color w:val="262626" w:themeColor="text1" w:themeTint="D9"/>
          <w:sz w:val="24"/>
        </w:rPr>
        <w:t>eceived</w:t>
      </w:r>
      <w:r w:rsidR="00DA3172">
        <w:rPr>
          <w:color w:val="262626" w:themeColor="text1" w:themeTint="D9"/>
          <w:sz w:val="24"/>
        </w:rPr>
        <w:t xml:space="preserve"> –</w:t>
      </w:r>
      <w:r w:rsidR="00106158">
        <w:rPr>
          <w:color w:val="262626" w:themeColor="text1" w:themeTint="D9"/>
          <w:sz w:val="24"/>
        </w:rPr>
        <w:t xml:space="preserve"> Constant over the last few years, so will remain the same figure.</w:t>
      </w:r>
    </w:p>
    <w:p w:rsidR="00DA3172" w:rsidRDefault="00DA3172" w:rsidP="00781B94">
      <w:pPr>
        <w:spacing w:line="360" w:lineRule="auto"/>
        <w:rPr>
          <w:color w:val="262626" w:themeColor="text1" w:themeTint="D9"/>
          <w:sz w:val="24"/>
        </w:rPr>
      </w:pPr>
      <w:proofErr w:type="gramStart"/>
      <w:r w:rsidRPr="00106158">
        <w:rPr>
          <w:b/>
          <w:color w:val="262626" w:themeColor="text1" w:themeTint="D9"/>
          <w:sz w:val="24"/>
        </w:rPr>
        <w:t>Other income</w:t>
      </w:r>
      <w:r>
        <w:rPr>
          <w:color w:val="262626" w:themeColor="text1" w:themeTint="D9"/>
          <w:sz w:val="24"/>
        </w:rPr>
        <w:t xml:space="preserve"> – </w:t>
      </w:r>
      <w:r w:rsidR="00106158">
        <w:rPr>
          <w:color w:val="262626" w:themeColor="text1" w:themeTint="D9"/>
          <w:sz w:val="24"/>
        </w:rPr>
        <w:t>Significantly larger in 2014 than previous years due to the sale of controlled entities.</w:t>
      </w:r>
      <w:proofErr w:type="gramEnd"/>
      <w:r w:rsidR="00106158">
        <w:rPr>
          <w:color w:val="262626" w:themeColor="text1" w:themeTint="D9"/>
          <w:sz w:val="24"/>
        </w:rPr>
        <w:t xml:space="preserve"> Future forecast years will reduce back to their typically constant levels.</w:t>
      </w:r>
    </w:p>
    <w:p w:rsidR="00DA3172" w:rsidRDefault="00DA3172" w:rsidP="00781B94">
      <w:pPr>
        <w:spacing w:line="360" w:lineRule="auto"/>
        <w:rPr>
          <w:color w:val="262626" w:themeColor="text1" w:themeTint="D9"/>
          <w:sz w:val="24"/>
        </w:rPr>
      </w:pPr>
      <w:r w:rsidRPr="00106158">
        <w:rPr>
          <w:b/>
          <w:color w:val="262626" w:themeColor="text1" w:themeTint="D9"/>
          <w:sz w:val="24"/>
        </w:rPr>
        <w:t>Depreciation expense to PPE</w:t>
      </w:r>
      <w:r>
        <w:rPr>
          <w:color w:val="262626" w:themeColor="text1" w:themeTint="D9"/>
          <w:sz w:val="24"/>
        </w:rPr>
        <w:t xml:space="preserve"> – </w:t>
      </w:r>
      <w:r w:rsidR="00B40BCA">
        <w:rPr>
          <w:color w:val="262626" w:themeColor="text1" w:themeTint="D9"/>
          <w:sz w:val="24"/>
        </w:rPr>
        <w:t>Stayed constant over the last few years as per the annual reports and will remain the same % for the forecast, though as PPE reduces so will this exp.</w:t>
      </w:r>
    </w:p>
    <w:p w:rsidR="00DA3172" w:rsidRDefault="00DA3172" w:rsidP="00781B94">
      <w:pPr>
        <w:spacing w:line="360" w:lineRule="auto"/>
        <w:rPr>
          <w:color w:val="262626" w:themeColor="text1" w:themeTint="D9"/>
          <w:sz w:val="24"/>
        </w:rPr>
      </w:pPr>
      <w:r w:rsidRPr="00B40BCA">
        <w:rPr>
          <w:b/>
          <w:color w:val="262626" w:themeColor="text1" w:themeTint="D9"/>
          <w:sz w:val="24"/>
        </w:rPr>
        <w:t>SG&amp;A expense to sales ratio</w:t>
      </w:r>
      <w:r>
        <w:rPr>
          <w:color w:val="262626" w:themeColor="text1" w:themeTint="D9"/>
          <w:sz w:val="24"/>
        </w:rPr>
        <w:t xml:space="preserve"> – </w:t>
      </w:r>
      <w:r w:rsidR="00B40BCA">
        <w:rPr>
          <w:color w:val="262626" w:themeColor="text1" w:themeTint="D9"/>
          <w:sz w:val="24"/>
        </w:rPr>
        <w:t>Decreasing ratio slowly over the forecast due to recent redundancies made and less selling and administration costs associated with operating a primarily digital business due to new strategy.</w:t>
      </w:r>
    </w:p>
    <w:p w:rsidR="00DA3172" w:rsidRDefault="00B40BCA" w:rsidP="00781B94">
      <w:pPr>
        <w:spacing w:line="360" w:lineRule="auto"/>
        <w:rPr>
          <w:color w:val="262626" w:themeColor="text1" w:themeTint="D9"/>
          <w:sz w:val="24"/>
        </w:rPr>
      </w:pPr>
      <w:r>
        <w:rPr>
          <w:b/>
          <w:color w:val="262626" w:themeColor="text1" w:themeTint="D9"/>
          <w:sz w:val="24"/>
        </w:rPr>
        <w:t>Interest r</w:t>
      </w:r>
      <w:r w:rsidR="00DA3172" w:rsidRPr="00B40BCA">
        <w:rPr>
          <w:b/>
          <w:color w:val="262626" w:themeColor="text1" w:themeTint="D9"/>
          <w:sz w:val="24"/>
        </w:rPr>
        <w:t>ate</w:t>
      </w:r>
      <w:r w:rsidR="00DA3172">
        <w:rPr>
          <w:color w:val="262626" w:themeColor="text1" w:themeTint="D9"/>
          <w:sz w:val="24"/>
        </w:rPr>
        <w:t xml:space="preserve"> – </w:t>
      </w:r>
      <w:r>
        <w:rPr>
          <w:color w:val="262626" w:themeColor="text1" w:themeTint="D9"/>
          <w:sz w:val="24"/>
        </w:rPr>
        <w:t>Will remain as it is, but will increase to a higher level in the later forecasting, which drives the forecasted slow increase in finance cost, after the initial for drop next year.</w:t>
      </w:r>
    </w:p>
    <w:p w:rsidR="00DA3172" w:rsidRDefault="00DA3172" w:rsidP="00781B94">
      <w:pPr>
        <w:spacing w:line="360" w:lineRule="auto"/>
        <w:rPr>
          <w:color w:val="262626" w:themeColor="text1" w:themeTint="D9"/>
          <w:sz w:val="24"/>
        </w:rPr>
      </w:pPr>
      <w:r w:rsidRPr="00B40BCA">
        <w:rPr>
          <w:b/>
          <w:color w:val="262626" w:themeColor="text1" w:themeTint="D9"/>
          <w:sz w:val="24"/>
        </w:rPr>
        <w:t xml:space="preserve">Rental </w:t>
      </w:r>
      <w:r w:rsidR="00B40BCA">
        <w:rPr>
          <w:b/>
          <w:color w:val="262626" w:themeColor="text1" w:themeTint="D9"/>
          <w:sz w:val="24"/>
        </w:rPr>
        <w:t>c</w:t>
      </w:r>
      <w:r w:rsidRPr="00B40BCA">
        <w:rPr>
          <w:b/>
          <w:color w:val="262626" w:themeColor="text1" w:themeTint="D9"/>
          <w:sz w:val="24"/>
        </w:rPr>
        <w:t>ost</w:t>
      </w:r>
      <w:r>
        <w:rPr>
          <w:color w:val="262626" w:themeColor="text1" w:themeTint="D9"/>
          <w:sz w:val="24"/>
        </w:rPr>
        <w:t xml:space="preserve"> – </w:t>
      </w:r>
      <w:r w:rsidR="00B40BCA">
        <w:rPr>
          <w:color w:val="262626" w:themeColor="text1" w:themeTint="D9"/>
          <w:sz w:val="24"/>
        </w:rPr>
        <w:t>Has remained consistent over the last few years, so will stay the same.</w:t>
      </w:r>
    </w:p>
    <w:p w:rsidR="00DA3172" w:rsidRDefault="00DA3172" w:rsidP="00781B94">
      <w:pPr>
        <w:spacing w:line="360" w:lineRule="auto"/>
        <w:rPr>
          <w:color w:val="262626" w:themeColor="text1" w:themeTint="D9"/>
          <w:sz w:val="24"/>
        </w:rPr>
      </w:pPr>
      <w:r w:rsidRPr="00B40BCA">
        <w:rPr>
          <w:b/>
          <w:color w:val="262626" w:themeColor="text1" w:themeTint="D9"/>
          <w:sz w:val="24"/>
        </w:rPr>
        <w:t>Other costs</w:t>
      </w:r>
      <w:r>
        <w:rPr>
          <w:color w:val="262626" w:themeColor="text1" w:themeTint="D9"/>
          <w:sz w:val="24"/>
        </w:rPr>
        <w:t xml:space="preserve"> – </w:t>
      </w:r>
      <w:r w:rsidR="00B40BCA">
        <w:rPr>
          <w:color w:val="262626" w:themeColor="text1" w:themeTint="D9"/>
          <w:sz w:val="24"/>
        </w:rPr>
        <w:t>Too many volatile factors to include, though has remained relatively constant.</w:t>
      </w:r>
    </w:p>
    <w:p w:rsidR="00DA3172" w:rsidRDefault="00DA3172" w:rsidP="00781B94">
      <w:pPr>
        <w:spacing w:line="360" w:lineRule="auto"/>
        <w:rPr>
          <w:color w:val="262626" w:themeColor="text1" w:themeTint="D9"/>
          <w:sz w:val="24"/>
        </w:rPr>
      </w:pPr>
      <w:r w:rsidRPr="00B40BCA">
        <w:rPr>
          <w:b/>
          <w:color w:val="262626" w:themeColor="text1" w:themeTint="D9"/>
          <w:sz w:val="24"/>
        </w:rPr>
        <w:t>Company tax rate</w:t>
      </w:r>
      <w:r>
        <w:rPr>
          <w:color w:val="262626" w:themeColor="text1" w:themeTint="D9"/>
          <w:sz w:val="24"/>
        </w:rPr>
        <w:t xml:space="preserve"> – </w:t>
      </w:r>
      <w:r w:rsidR="00B40BCA">
        <w:rPr>
          <w:color w:val="262626" w:themeColor="text1" w:themeTint="D9"/>
          <w:sz w:val="24"/>
        </w:rPr>
        <w:t>A standard 30% company tax rate is used.</w:t>
      </w:r>
    </w:p>
    <w:p w:rsidR="00DA3172" w:rsidRPr="00B40BCA" w:rsidRDefault="00DA3172" w:rsidP="005B6039">
      <w:pPr>
        <w:pStyle w:val="4"/>
      </w:pPr>
      <w:r>
        <w:br w:type="page"/>
      </w:r>
      <w:r>
        <w:lastRenderedPageBreak/>
        <w:t>Balance Sheet</w:t>
      </w:r>
    </w:p>
    <w:p w:rsidR="00DA3172" w:rsidRDefault="00DA3172" w:rsidP="005B6039">
      <w:pPr>
        <w:spacing w:line="360" w:lineRule="auto"/>
        <w:rPr>
          <w:color w:val="262626" w:themeColor="text1" w:themeTint="D9"/>
          <w:sz w:val="24"/>
        </w:rPr>
      </w:pPr>
      <w:r w:rsidRPr="00B40BCA">
        <w:rPr>
          <w:b/>
          <w:color w:val="262626" w:themeColor="text1" w:themeTint="D9"/>
          <w:sz w:val="24"/>
        </w:rPr>
        <w:t>Cash</w:t>
      </w:r>
      <w:r>
        <w:rPr>
          <w:color w:val="262626" w:themeColor="text1" w:themeTint="D9"/>
          <w:sz w:val="24"/>
        </w:rPr>
        <w:t xml:space="preserve"> – </w:t>
      </w:r>
      <w:r w:rsidR="004A7D53">
        <w:rPr>
          <w:color w:val="262626" w:themeColor="text1" w:themeTint="D9"/>
          <w:sz w:val="24"/>
        </w:rPr>
        <w:t>Cash is assumed to</w:t>
      </w:r>
      <w:r w:rsidR="00B40BCA">
        <w:rPr>
          <w:color w:val="262626" w:themeColor="text1" w:themeTint="D9"/>
          <w:sz w:val="24"/>
        </w:rPr>
        <w:t xml:space="preserve"> remain the same</w:t>
      </w:r>
      <w:r w:rsidR="004A7D53">
        <w:rPr>
          <w:color w:val="262626" w:themeColor="text1" w:themeTint="D9"/>
          <w:sz w:val="24"/>
        </w:rPr>
        <w:t xml:space="preserve"> over the forecast</w:t>
      </w:r>
      <w:r w:rsidR="00B40BCA">
        <w:rPr>
          <w:color w:val="262626" w:themeColor="text1" w:themeTint="D9"/>
          <w:sz w:val="24"/>
        </w:rPr>
        <w:t xml:space="preserve">, as it is close to the 3-year historical average as per the </w:t>
      </w:r>
      <w:r w:rsidR="004A7D53">
        <w:rPr>
          <w:color w:val="262626" w:themeColor="text1" w:themeTint="D9"/>
          <w:sz w:val="24"/>
        </w:rPr>
        <w:t xml:space="preserve">last few </w:t>
      </w:r>
      <w:r w:rsidR="00B40BCA">
        <w:rPr>
          <w:color w:val="262626" w:themeColor="text1" w:themeTint="D9"/>
          <w:sz w:val="24"/>
        </w:rPr>
        <w:t>annual report</w:t>
      </w:r>
      <w:r w:rsidR="004A7D53">
        <w:rPr>
          <w:color w:val="262626" w:themeColor="text1" w:themeTint="D9"/>
          <w:sz w:val="24"/>
        </w:rPr>
        <w:t>s.</w:t>
      </w:r>
    </w:p>
    <w:p w:rsidR="00DA3172" w:rsidRDefault="00DA3172" w:rsidP="005B6039">
      <w:pPr>
        <w:spacing w:line="360" w:lineRule="auto"/>
        <w:rPr>
          <w:color w:val="262626" w:themeColor="text1" w:themeTint="D9"/>
          <w:sz w:val="24"/>
        </w:rPr>
      </w:pPr>
      <w:r w:rsidRPr="004A7D53">
        <w:rPr>
          <w:b/>
          <w:color w:val="262626" w:themeColor="text1" w:themeTint="D9"/>
          <w:sz w:val="24"/>
        </w:rPr>
        <w:t>Receivables</w:t>
      </w:r>
      <w:r w:rsidR="004A7D53">
        <w:rPr>
          <w:b/>
          <w:color w:val="262626" w:themeColor="text1" w:themeTint="D9"/>
          <w:sz w:val="24"/>
        </w:rPr>
        <w:t xml:space="preserve"> &amp; Investments</w:t>
      </w:r>
      <w:r>
        <w:rPr>
          <w:color w:val="262626" w:themeColor="text1" w:themeTint="D9"/>
          <w:sz w:val="24"/>
        </w:rPr>
        <w:t xml:space="preserve"> – </w:t>
      </w:r>
      <w:r w:rsidR="004A7D53">
        <w:rPr>
          <w:color w:val="262626" w:themeColor="text1" w:themeTint="D9"/>
          <w:sz w:val="24"/>
        </w:rPr>
        <w:t>Receivable and Investment accounts are assumed to remain the same over the forecast, as they have been consistent over the last few years.</w:t>
      </w:r>
    </w:p>
    <w:p w:rsidR="00DA3172" w:rsidRDefault="00DA3172" w:rsidP="005B6039">
      <w:pPr>
        <w:spacing w:line="360" w:lineRule="auto"/>
        <w:rPr>
          <w:color w:val="262626" w:themeColor="text1" w:themeTint="D9"/>
          <w:sz w:val="24"/>
        </w:rPr>
      </w:pPr>
      <w:proofErr w:type="gramStart"/>
      <w:r w:rsidRPr="004A7D53">
        <w:rPr>
          <w:b/>
          <w:color w:val="262626" w:themeColor="text1" w:themeTint="D9"/>
          <w:sz w:val="24"/>
          <w:u w:val="single"/>
        </w:rPr>
        <w:t>Fixed assets to sales ratio</w:t>
      </w:r>
      <w:r>
        <w:rPr>
          <w:color w:val="262626" w:themeColor="text1" w:themeTint="D9"/>
          <w:sz w:val="24"/>
        </w:rPr>
        <w:t xml:space="preserve"> – </w:t>
      </w:r>
      <w:r w:rsidR="004A7D53">
        <w:rPr>
          <w:color w:val="262626" w:themeColor="text1" w:themeTint="D9"/>
          <w:sz w:val="24"/>
        </w:rPr>
        <w:t>A significant item.</w:t>
      </w:r>
      <w:proofErr w:type="gramEnd"/>
      <w:r w:rsidR="004A7D53">
        <w:rPr>
          <w:color w:val="262626" w:themeColor="text1" w:themeTint="D9"/>
          <w:sz w:val="24"/>
        </w:rPr>
        <w:t xml:space="preserve"> This ratio is assumed to decrease consistently over the forecast, as Fairfax moves away from the traditional print industry towards digital ventures. This will result in the sale of the large amount of PPE that is required in order to produce and distribute print media, being replaced instead by less PPE-heavy digital media. The PPE that still remains will not have as much of a relation to sales due to primary revenue being gained by digital business. PPE is assumed to decrease in value over the forecast for this reason, as the value of intangible assets increases. </w:t>
      </w:r>
    </w:p>
    <w:p w:rsidR="00DA3172" w:rsidRDefault="00DA3172" w:rsidP="005B6039">
      <w:pPr>
        <w:spacing w:line="360" w:lineRule="auto"/>
        <w:rPr>
          <w:color w:val="262626" w:themeColor="text1" w:themeTint="D9"/>
          <w:sz w:val="24"/>
        </w:rPr>
      </w:pPr>
      <w:proofErr w:type="gramStart"/>
      <w:r w:rsidRPr="004A7D53">
        <w:rPr>
          <w:b/>
          <w:color w:val="262626" w:themeColor="text1" w:themeTint="D9"/>
          <w:sz w:val="24"/>
          <w:u w:val="single"/>
        </w:rPr>
        <w:t>Intangibles to sales ratio</w:t>
      </w:r>
      <w:r>
        <w:rPr>
          <w:color w:val="262626" w:themeColor="text1" w:themeTint="D9"/>
          <w:sz w:val="24"/>
        </w:rPr>
        <w:t xml:space="preserve"> – </w:t>
      </w:r>
      <w:r w:rsidR="005B6039">
        <w:rPr>
          <w:color w:val="262626" w:themeColor="text1" w:themeTint="D9"/>
          <w:sz w:val="24"/>
        </w:rPr>
        <w:t>A significant item.</w:t>
      </w:r>
      <w:proofErr w:type="gramEnd"/>
      <w:r w:rsidR="005B6039">
        <w:rPr>
          <w:color w:val="262626" w:themeColor="text1" w:themeTint="D9"/>
          <w:sz w:val="24"/>
        </w:rPr>
        <w:t xml:space="preserve"> </w:t>
      </w:r>
      <w:r w:rsidR="004A7D53">
        <w:rPr>
          <w:color w:val="262626" w:themeColor="text1" w:themeTint="D9"/>
          <w:sz w:val="24"/>
        </w:rPr>
        <w:t xml:space="preserve">It is assumed there will be an inverse </w:t>
      </w:r>
      <w:bookmarkStart w:id="5" w:name="_GoBack"/>
      <w:bookmarkEnd w:id="5"/>
      <w:r w:rsidR="004A7D53">
        <w:rPr>
          <w:color w:val="262626" w:themeColor="text1" w:themeTint="D9"/>
          <w:sz w:val="24"/>
        </w:rPr>
        <w:t>relationship between PPE and Intangible assets as Fairfax continues to move towards its digital media strategy over traditional print media. This is assumed to increase the intangibles to sales ratio over the forecast as the intangible assets have a greater impact on sales due to the inclusion of website brands and other digital ventures being valued as intangible assets. Intangible assets will decrease initially due to the impairment of traditional print related intangibles before increasing again due to the digital strategy.</w:t>
      </w:r>
    </w:p>
    <w:p w:rsidR="00DA3172" w:rsidRPr="004A7D53" w:rsidRDefault="00DA3172" w:rsidP="005B6039">
      <w:pPr>
        <w:spacing w:line="360" w:lineRule="auto"/>
        <w:rPr>
          <w:color w:val="262626" w:themeColor="text1" w:themeTint="D9"/>
          <w:sz w:val="24"/>
        </w:rPr>
      </w:pPr>
      <w:r w:rsidRPr="004A7D53">
        <w:rPr>
          <w:b/>
          <w:color w:val="262626" w:themeColor="text1" w:themeTint="D9"/>
          <w:sz w:val="24"/>
        </w:rPr>
        <w:t>Total Non-Current Assets</w:t>
      </w:r>
      <w:r>
        <w:rPr>
          <w:color w:val="262626" w:themeColor="text1" w:themeTint="D9"/>
          <w:sz w:val="24"/>
        </w:rPr>
        <w:t xml:space="preserve"> –</w:t>
      </w:r>
      <w:r w:rsidR="004A7D53">
        <w:rPr>
          <w:color w:val="262626" w:themeColor="text1" w:themeTint="D9"/>
          <w:sz w:val="24"/>
        </w:rPr>
        <w:t xml:space="preserve"> Too many factors to estimate accurately, so is assumed to grow at 3% (inflation rate) pa over the forecast.</w:t>
      </w:r>
    </w:p>
    <w:p w:rsidR="00DA3172" w:rsidRDefault="00DA3172" w:rsidP="005B6039">
      <w:pPr>
        <w:spacing w:line="360" w:lineRule="auto"/>
        <w:rPr>
          <w:color w:val="262626" w:themeColor="text1" w:themeTint="D9"/>
          <w:sz w:val="24"/>
        </w:rPr>
      </w:pPr>
      <w:r w:rsidRPr="005B6039">
        <w:rPr>
          <w:b/>
          <w:color w:val="262626" w:themeColor="text1" w:themeTint="D9"/>
          <w:sz w:val="24"/>
        </w:rPr>
        <w:t>Long-Term debt</w:t>
      </w:r>
      <w:r>
        <w:rPr>
          <w:color w:val="262626" w:themeColor="text1" w:themeTint="D9"/>
          <w:sz w:val="24"/>
        </w:rPr>
        <w:t xml:space="preserve"> – </w:t>
      </w:r>
      <w:r w:rsidR="005B6039">
        <w:rPr>
          <w:color w:val="262626" w:themeColor="text1" w:themeTint="D9"/>
          <w:sz w:val="24"/>
        </w:rPr>
        <w:t>Long-term debt is assumed to decrease slowly over the forecast due to Fairfax’s continually payoff of their debt obligations as per previous annual reports.</w:t>
      </w:r>
    </w:p>
    <w:p w:rsidR="00DA3172" w:rsidRPr="004A7D53" w:rsidRDefault="00DA3172" w:rsidP="005B6039">
      <w:pPr>
        <w:spacing w:line="360" w:lineRule="auto"/>
        <w:rPr>
          <w:b/>
          <w:color w:val="262626" w:themeColor="text1" w:themeTint="D9"/>
          <w:sz w:val="24"/>
        </w:rPr>
      </w:pPr>
      <w:r w:rsidRPr="004A7D53">
        <w:rPr>
          <w:b/>
          <w:color w:val="262626" w:themeColor="text1" w:themeTint="D9"/>
          <w:sz w:val="24"/>
        </w:rPr>
        <w:t>Total Non-Current Liabilities</w:t>
      </w:r>
      <w:r>
        <w:rPr>
          <w:color w:val="262626" w:themeColor="text1" w:themeTint="D9"/>
          <w:sz w:val="24"/>
        </w:rPr>
        <w:t xml:space="preserve"> – </w:t>
      </w:r>
      <w:r w:rsidR="004A7D53">
        <w:rPr>
          <w:color w:val="262626" w:themeColor="text1" w:themeTint="D9"/>
          <w:sz w:val="24"/>
        </w:rPr>
        <w:t>Too many factors to estimate accurately, so is assumed to grow at 3% (inflation rate) pa over the forecast.</w:t>
      </w:r>
    </w:p>
    <w:p w:rsidR="00DA3172" w:rsidRDefault="00DA3172" w:rsidP="005B6039">
      <w:pPr>
        <w:spacing w:line="360" w:lineRule="auto"/>
        <w:rPr>
          <w:color w:val="262626" w:themeColor="text1" w:themeTint="D9"/>
          <w:sz w:val="24"/>
        </w:rPr>
      </w:pPr>
      <w:r w:rsidRPr="005B6039">
        <w:rPr>
          <w:b/>
          <w:color w:val="262626" w:themeColor="text1" w:themeTint="D9"/>
          <w:sz w:val="24"/>
        </w:rPr>
        <w:t>Net Debt</w:t>
      </w:r>
      <w:r>
        <w:rPr>
          <w:color w:val="262626" w:themeColor="text1" w:themeTint="D9"/>
          <w:sz w:val="24"/>
        </w:rPr>
        <w:t xml:space="preserve"> –</w:t>
      </w:r>
      <w:r w:rsidR="005B6039">
        <w:rPr>
          <w:color w:val="262626" w:themeColor="text1" w:themeTint="D9"/>
          <w:sz w:val="24"/>
        </w:rPr>
        <w:t xml:space="preserve"> Calculated using the net debt formula. It is a negative value due to Fairfax having more cash and cash equivalents than its debt obligations. </w:t>
      </w:r>
      <w:proofErr w:type="gramStart"/>
      <w:r w:rsidR="005B6039">
        <w:rPr>
          <w:color w:val="262626" w:themeColor="text1" w:themeTint="D9"/>
          <w:sz w:val="24"/>
        </w:rPr>
        <w:t>Assumed to remain constant over the forecast.</w:t>
      </w:r>
      <w:proofErr w:type="gramEnd"/>
    </w:p>
    <w:p w:rsidR="00DA3172" w:rsidRDefault="00DA3172" w:rsidP="005B6039">
      <w:pPr>
        <w:spacing w:line="360" w:lineRule="auto"/>
        <w:rPr>
          <w:color w:val="262626" w:themeColor="text1" w:themeTint="D9"/>
          <w:sz w:val="24"/>
        </w:rPr>
      </w:pPr>
      <w:r w:rsidRPr="005B6039">
        <w:rPr>
          <w:b/>
          <w:color w:val="262626" w:themeColor="text1" w:themeTint="D9"/>
          <w:sz w:val="24"/>
        </w:rPr>
        <w:lastRenderedPageBreak/>
        <w:t>Operating working capital to sales</w:t>
      </w:r>
      <w:r>
        <w:rPr>
          <w:color w:val="262626" w:themeColor="text1" w:themeTint="D9"/>
          <w:sz w:val="24"/>
        </w:rPr>
        <w:t xml:space="preserve"> –</w:t>
      </w:r>
      <w:r w:rsidR="005B6039">
        <w:rPr>
          <w:color w:val="262626" w:themeColor="text1" w:themeTint="D9"/>
          <w:sz w:val="24"/>
        </w:rPr>
        <w:t xml:space="preserve"> Calculated at 3.3% for 2014 and assumed to remain constant over the forecast due to relative consistency in previous years.</w:t>
      </w:r>
    </w:p>
    <w:p w:rsidR="00DA3172" w:rsidRDefault="00DA3172" w:rsidP="005B6039">
      <w:pPr>
        <w:spacing w:line="360" w:lineRule="auto"/>
        <w:rPr>
          <w:color w:val="262626" w:themeColor="text1" w:themeTint="D9"/>
          <w:sz w:val="24"/>
        </w:rPr>
      </w:pPr>
      <w:r w:rsidRPr="005B6039">
        <w:rPr>
          <w:b/>
          <w:color w:val="262626" w:themeColor="text1" w:themeTint="D9"/>
          <w:sz w:val="24"/>
        </w:rPr>
        <w:t>Dividend payout ratio</w:t>
      </w:r>
      <w:r>
        <w:rPr>
          <w:color w:val="262626" w:themeColor="text1" w:themeTint="D9"/>
          <w:sz w:val="24"/>
        </w:rPr>
        <w:t xml:space="preserve"> – </w:t>
      </w:r>
      <w:r w:rsidR="005B6039">
        <w:rPr>
          <w:color w:val="262626" w:themeColor="text1" w:themeTint="D9"/>
          <w:sz w:val="24"/>
        </w:rPr>
        <w:t>Calculated using the dividend per share over earnings per share formula. The DPS and EPS figures were presented by Fairfax in their annual report, and the ratio is expected to remain consistent over the forecast.</w:t>
      </w:r>
    </w:p>
    <w:p w:rsidR="00DA3172" w:rsidRDefault="00DA3172" w:rsidP="00781B94">
      <w:pPr>
        <w:spacing w:line="360" w:lineRule="auto"/>
        <w:rPr>
          <w:color w:val="262626" w:themeColor="text1" w:themeTint="D9"/>
          <w:sz w:val="24"/>
        </w:rPr>
      </w:pPr>
    </w:p>
    <w:p w:rsidR="00DA3172" w:rsidRDefault="00DA3172" w:rsidP="00781B94">
      <w:pPr>
        <w:spacing w:line="360" w:lineRule="auto"/>
        <w:rPr>
          <w:color w:val="262626" w:themeColor="text1" w:themeTint="D9"/>
          <w:sz w:val="24"/>
        </w:rPr>
      </w:pPr>
    </w:p>
    <w:p w:rsidR="00DA3172" w:rsidRPr="00DA3172" w:rsidRDefault="00DA3172" w:rsidP="00781B94">
      <w:pPr>
        <w:spacing w:line="360" w:lineRule="auto"/>
        <w:rPr>
          <w:color w:val="262626" w:themeColor="text1" w:themeTint="D9"/>
          <w:sz w:val="24"/>
        </w:rPr>
      </w:pPr>
    </w:p>
    <w:p w:rsidR="00CA1414" w:rsidRPr="00781B94" w:rsidRDefault="00CA1414" w:rsidP="00781B94">
      <w:pPr>
        <w:spacing w:line="360" w:lineRule="auto"/>
        <w:rPr>
          <w:color w:val="262626" w:themeColor="text1" w:themeTint="D9"/>
          <w:sz w:val="24"/>
          <w:szCs w:val="24"/>
          <w:u w:val="single"/>
        </w:rPr>
      </w:pPr>
      <w:r w:rsidRPr="00781B94">
        <w:rPr>
          <w:b/>
          <w:i/>
          <w:color w:val="5B9BD5" w:themeColor="accent1"/>
          <w:sz w:val="44"/>
          <w:u w:val="single"/>
        </w:rPr>
        <w:br w:type="page"/>
      </w:r>
    </w:p>
    <w:p w:rsidR="00CA1414" w:rsidRPr="00BF1DE3" w:rsidRDefault="00CA1414" w:rsidP="00593005">
      <w:pPr>
        <w:pStyle w:val="2"/>
      </w:pPr>
      <w:bookmarkStart w:id="6" w:name="_Toc420625243"/>
      <w:r w:rsidRPr="00BF1DE3">
        <w:lastRenderedPageBreak/>
        <w:t>Valuation:</w:t>
      </w:r>
      <w:bookmarkEnd w:id="6"/>
    </w:p>
    <w:tbl>
      <w:tblPr>
        <w:tblStyle w:val="GridTable5DarkAccent1"/>
        <w:tblpPr w:leftFromText="180" w:rightFromText="180" w:vertAnchor="text" w:horzAnchor="margin" w:tblpXSpec="center" w:tblpY="439"/>
        <w:tblW w:w="10337" w:type="dxa"/>
        <w:tblLook w:val="04A0" w:firstRow="1" w:lastRow="0" w:firstColumn="1" w:lastColumn="0" w:noHBand="0" w:noVBand="1"/>
      </w:tblPr>
      <w:tblGrid>
        <w:gridCol w:w="1838"/>
        <w:gridCol w:w="1701"/>
        <w:gridCol w:w="1701"/>
        <w:gridCol w:w="1701"/>
        <w:gridCol w:w="1701"/>
        <w:gridCol w:w="1695"/>
      </w:tblGrid>
      <w:tr w:rsidR="00106158" w:rsidRPr="00084896" w:rsidTr="005B603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38" w:type="dxa"/>
            <w:noWrap/>
            <w:hideMark/>
          </w:tcPr>
          <w:p w:rsidR="00106158" w:rsidRPr="00CD7FE0" w:rsidRDefault="00106158" w:rsidP="005B6039">
            <w:pPr>
              <w:rPr>
                <w:rFonts w:ascii="Calibri" w:eastAsia="Times New Roman" w:hAnsi="Calibri" w:cs="Arial"/>
                <w:lang w:eastAsia="en-AU"/>
              </w:rPr>
            </w:pPr>
            <w:bookmarkStart w:id="7" w:name="_Toc420625244"/>
            <w:r w:rsidRPr="00CD7FE0">
              <w:rPr>
                <w:rFonts w:ascii="Calibri" w:eastAsia="Times New Roman" w:hAnsi="Calibri" w:cs="Arial"/>
                <w:lang w:eastAsia="en-AU"/>
              </w:rPr>
              <w:t>FCF Analysis</w:t>
            </w:r>
          </w:p>
        </w:tc>
        <w:tc>
          <w:tcPr>
            <w:tcW w:w="1701" w:type="dxa"/>
            <w:noWrap/>
            <w:hideMark/>
          </w:tcPr>
          <w:p w:rsidR="00106158" w:rsidRPr="00CD7FE0" w:rsidRDefault="00106158" w:rsidP="005B6039">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Arial"/>
                <w:lang w:eastAsia="en-AU"/>
              </w:rPr>
            </w:pPr>
            <w:r w:rsidRPr="00CD7FE0">
              <w:rPr>
                <w:rFonts w:ascii="Calibri" w:eastAsia="Times New Roman" w:hAnsi="Calibri" w:cs="Arial"/>
                <w:lang w:eastAsia="en-AU"/>
              </w:rPr>
              <w:t>2015</w:t>
            </w:r>
          </w:p>
        </w:tc>
        <w:tc>
          <w:tcPr>
            <w:tcW w:w="1701" w:type="dxa"/>
            <w:noWrap/>
            <w:hideMark/>
          </w:tcPr>
          <w:p w:rsidR="00106158" w:rsidRPr="00CD7FE0" w:rsidRDefault="00106158" w:rsidP="005B6039">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Arial"/>
                <w:lang w:eastAsia="en-AU"/>
              </w:rPr>
            </w:pPr>
            <w:r w:rsidRPr="00CD7FE0">
              <w:rPr>
                <w:rFonts w:ascii="Calibri" w:eastAsia="Times New Roman" w:hAnsi="Calibri" w:cs="Arial"/>
                <w:lang w:eastAsia="en-AU"/>
              </w:rPr>
              <w:t>2016</w:t>
            </w:r>
          </w:p>
        </w:tc>
        <w:tc>
          <w:tcPr>
            <w:tcW w:w="1701" w:type="dxa"/>
            <w:noWrap/>
            <w:hideMark/>
          </w:tcPr>
          <w:p w:rsidR="00106158" w:rsidRPr="00CD7FE0" w:rsidRDefault="00106158" w:rsidP="005B6039">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Arial"/>
                <w:lang w:eastAsia="en-AU"/>
              </w:rPr>
            </w:pPr>
            <w:r w:rsidRPr="00CD7FE0">
              <w:rPr>
                <w:rFonts w:ascii="Calibri" w:eastAsia="Times New Roman" w:hAnsi="Calibri" w:cs="Arial"/>
                <w:lang w:eastAsia="en-AU"/>
              </w:rPr>
              <w:t>2017</w:t>
            </w:r>
          </w:p>
        </w:tc>
        <w:tc>
          <w:tcPr>
            <w:tcW w:w="1701" w:type="dxa"/>
            <w:noWrap/>
            <w:hideMark/>
          </w:tcPr>
          <w:p w:rsidR="00106158" w:rsidRPr="00CD7FE0" w:rsidRDefault="00106158" w:rsidP="005B6039">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Arial"/>
                <w:lang w:eastAsia="en-AU"/>
              </w:rPr>
            </w:pPr>
            <w:r w:rsidRPr="00CD7FE0">
              <w:rPr>
                <w:rFonts w:ascii="Calibri" w:eastAsia="Times New Roman" w:hAnsi="Calibri" w:cs="Arial"/>
                <w:lang w:eastAsia="en-AU"/>
              </w:rPr>
              <w:t>2018</w:t>
            </w:r>
          </w:p>
        </w:tc>
        <w:tc>
          <w:tcPr>
            <w:tcW w:w="1695" w:type="dxa"/>
            <w:noWrap/>
            <w:hideMark/>
          </w:tcPr>
          <w:p w:rsidR="00106158" w:rsidRPr="00CD7FE0" w:rsidRDefault="00106158" w:rsidP="005B6039">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Arial"/>
                <w:lang w:eastAsia="en-AU"/>
              </w:rPr>
            </w:pPr>
            <w:r w:rsidRPr="00CD7FE0">
              <w:rPr>
                <w:rFonts w:ascii="Calibri" w:eastAsia="Times New Roman" w:hAnsi="Calibri" w:cs="Arial"/>
                <w:lang w:eastAsia="en-AU"/>
              </w:rPr>
              <w:t>2019</w:t>
            </w:r>
          </w:p>
        </w:tc>
      </w:tr>
      <w:tr w:rsidR="00106158" w:rsidRPr="00084896" w:rsidTr="005B603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38" w:type="dxa"/>
            <w:noWrap/>
            <w:hideMark/>
          </w:tcPr>
          <w:p w:rsidR="00106158" w:rsidRPr="00CD7FE0" w:rsidRDefault="00106158" w:rsidP="005B6039">
            <w:pPr>
              <w:rPr>
                <w:rFonts w:ascii="Calibri" w:eastAsia="Times New Roman" w:hAnsi="Calibri" w:cs="Arial"/>
                <w:lang w:eastAsia="en-AU"/>
              </w:rPr>
            </w:pPr>
            <w:r w:rsidRPr="00CD7FE0">
              <w:rPr>
                <w:rFonts w:ascii="Calibri" w:eastAsia="Times New Roman" w:hAnsi="Calibri" w:cs="Arial"/>
                <w:lang w:eastAsia="en-AU"/>
              </w:rPr>
              <w:t>PV of FCF=</w:t>
            </w:r>
          </w:p>
        </w:tc>
        <w:tc>
          <w:tcPr>
            <w:tcW w:w="1701" w:type="dxa"/>
            <w:noWrap/>
            <w:hideMark/>
          </w:tcPr>
          <w:p w:rsidR="00106158" w:rsidRPr="00084896" w:rsidRDefault="00106158" w:rsidP="005B603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000000"/>
                <w:lang w:eastAsia="en-AU"/>
              </w:rPr>
            </w:pPr>
            <w:r w:rsidRPr="00084896">
              <w:rPr>
                <w:rFonts w:ascii="Calibri" w:eastAsia="Times New Roman" w:hAnsi="Calibri" w:cs="Arial"/>
                <w:color w:val="000000"/>
                <w:lang w:eastAsia="en-AU"/>
              </w:rPr>
              <w:t xml:space="preserve"> $     102,322.75 </w:t>
            </w:r>
          </w:p>
        </w:tc>
        <w:tc>
          <w:tcPr>
            <w:tcW w:w="1701" w:type="dxa"/>
            <w:noWrap/>
            <w:hideMark/>
          </w:tcPr>
          <w:p w:rsidR="00106158" w:rsidRPr="00084896" w:rsidRDefault="00106158" w:rsidP="005B603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000000"/>
                <w:lang w:eastAsia="en-AU"/>
              </w:rPr>
            </w:pPr>
            <w:r w:rsidRPr="00084896">
              <w:rPr>
                <w:rFonts w:ascii="Calibri" w:eastAsia="Times New Roman" w:hAnsi="Calibri" w:cs="Arial"/>
                <w:color w:val="000000"/>
                <w:lang w:eastAsia="en-AU"/>
              </w:rPr>
              <w:t xml:space="preserve"> $        97,281.96 </w:t>
            </w:r>
          </w:p>
        </w:tc>
        <w:tc>
          <w:tcPr>
            <w:tcW w:w="1701" w:type="dxa"/>
            <w:noWrap/>
            <w:hideMark/>
          </w:tcPr>
          <w:p w:rsidR="00106158" w:rsidRPr="00084896" w:rsidRDefault="00106158" w:rsidP="005B603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000000"/>
                <w:lang w:eastAsia="en-AU"/>
              </w:rPr>
            </w:pPr>
            <w:r w:rsidRPr="00084896">
              <w:rPr>
                <w:rFonts w:ascii="Calibri" w:eastAsia="Times New Roman" w:hAnsi="Calibri" w:cs="Arial"/>
                <w:color w:val="000000"/>
                <w:lang w:eastAsia="en-AU"/>
              </w:rPr>
              <w:t xml:space="preserve"> $     103,753.43 </w:t>
            </w:r>
          </w:p>
        </w:tc>
        <w:tc>
          <w:tcPr>
            <w:tcW w:w="1701" w:type="dxa"/>
            <w:noWrap/>
            <w:hideMark/>
          </w:tcPr>
          <w:p w:rsidR="00106158" w:rsidRPr="00084896" w:rsidRDefault="00106158" w:rsidP="005B603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000000"/>
                <w:lang w:eastAsia="en-AU"/>
              </w:rPr>
            </w:pPr>
            <w:r w:rsidRPr="00084896">
              <w:rPr>
                <w:rFonts w:ascii="Calibri" w:eastAsia="Times New Roman" w:hAnsi="Calibri" w:cs="Arial"/>
                <w:color w:val="000000"/>
                <w:lang w:eastAsia="en-AU"/>
              </w:rPr>
              <w:t xml:space="preserve"> $     109,469.12 </w:t>
            </w:r>
          </w:p>
        </w:tc>
        <w:tc>
          <w:tcPr>
            <w:tcW w:w="1695" w:type="dxa"/>
            <w:noWrap/>
            <w:hideMark/>
          </w:tcPr>
          <w:p w:rsidR="00106158" w:rsidRPr="00084896" w:rsidRDefault="00106158" w:rsidP="005B603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000000"/>
                <w:lang w:eastAsia="en-AU"/>
              </w:rPr>
            </w:pPr>
            <w:r w:rsidRPr="00084896">
              <w:rPr>
                <w:rFonts w:ascii="Calibri" w:eastAsia="Times New Roman" w:hAnsi="Calibri" w:cs="Arial"/>
                <w:color w:val="000000"/>
                <w:lang w:eastAsia="en-AU"/>
              </w:rPr>
              <w:t xml:space="preserve"> $     118,947.84 </w:t>
            </w:r>
          </w:p>
        </w:tc>
      </w:tr>
      <w:tr w:rsidR="00106158" w:rsidRPr="00084896" w:rsidTr="005B6039">
        <w:trPr>
          <w:trHeight w:val="315"/>
        </w:trPr>
        <w:tc>
          <w:tcPr>
            <w:cnfStyle w:val="001000000000" w:firstRow="0" w:lastRow="0" w:firstColumn="1" w:lastColumn="0" w:oddVBand="0" w:evenVBand="0" w:oddHBand="0" w:evenHBand="0" w:firstRowFirstColumn="0" w:firstRowLastColumn="0" w:lastRowFirstColumn="0" w:lastRowLastColumn="0"/>
            <w:tcW w:w="1838" w:type="dxa"/>
            <w:noWrap/>
            <w:hideMark/>
          </w:tcPr>
          <w:p w:rsidR="00106158" w:rsidRPr="00CD7FE0" w:rsidRDefault="00106158" w:rsidP="005B6039">
            <w:pPr>
              <w:rPr>
                <w:rFonts w:ascii="Calibri" w:eastAsia="Times New Roman" w:hAnsi="Calibri" w:cs="Arial"/>
                <w:lang w:eastAsia="en-AU"/>
              </w:rPr>
            </w:pPr>
            <w:r w:rsidRPr="00CD7FE0">
              <w:rPr>
                <w:rFonts w:ascii="Calibri" w:eastAsia="Times New Roman" w:hAnsi="Calibri" w:cs="Arial"/>
                <w:lang w:eastAsia="en-AU"/>
              </w:rPr>
              <w:t>Sum of PV of FCF (2015-2019)</w:t>
            </w:r>
          </w:p>
        </w:tc>
        <w:tc>
          <w:tcPr>
            <w:tcW w:w="1701" w:type="dxa"/>
            <w:noWrap/>
            <w:hideMark/>
          </w:tcPr>
          <w:p w:rsidR="00106158" w:rsidRPr="00084896" w:rsidRDefault="00106158" w:rsidP="005B603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000000"/>
                <w:lang w:eastAsia="en-AU"/>
              </w:rPr>
            </w:pPr>
            <w:r w:rsidRPr="00084896">
              <w:rPr>
                <w:rFonts w:ascii="Calibri" w:eastAsia="Times New Roman" w:hAnsi="Calibri" w:cs="Arial"/>
                <w:color w:val="000000"/>
                <w:lang w:eastAsia="en-AU"/>
              </w:rPr>
              <w:t xml:space="preserve"> $           531,775 </w:t>
            </w:r>
          </w:p>
        </w:tc>
        <w:tc>
          <w:tcPr>
            <w:tcW w:w="1701" w:type="dxa"/>
            <w:noWrap/>
            <w:hideMark/>
          </w:tcPr>
          <w:p w:rsidR="00106158" w:rsidRPr="00084896" w:rsidRDefault="00106158" w:rsidP="005B603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000000"/>
                <w:lang w:eastAsia="en-AU"/>
              </w:rPr>
            </w:pPr>
          </w:p>
        </w:tc>
        <w:tc>
          <w:tcPr>
            <w:tcW w:w="1701" w:type="dxa"/>
            <w:noWrap/>
            <w:hideMark/>
          </w:tcPr>
          <w:p w:rsidR="00106158" w:rsidRPr="00084896" w:rsidRDefault="00106158" w:rsidP="005B603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1701" w:type="dxa"/>
            <w:noWrap/>
            <w:hideMark/>
          </w:tcPr>
          <w:p w:rsidR="00106158" w:rsidRPr="00084896" w:rsidRDefault="00106158" w:rsidP="005B603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1695" w:type="dxa"/>
            <w:noWrap/>
            <w:hideMark/>
          </w:tcPr>
          <w:p w:rsidR="00106158" w:rsidRPr="00084896" w:rsidRDefault="00106158" w:rsidP="005B603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r>
      <w:tr w:rsidR="00106158" w:rsidRPr="00084896" w:rsidTr="005B6039">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838" w:type="dxa"/>
            <w:noWrap/>
            <w:hideMark/>
          </w:tcPr>
          <w:p w:rsidR="00106158" w:rsidRPr="00CD7FE0" w:rsidRDefault="00106158" w:rsidP="005B6039">
            <w:pPr>
              <w:rPr>
                <w:rFonts w:ascii="Calibri" w:eastAsia="Times New Roman" w:hAnsi="Calibri" w:cs="Arial"/>
                <w:lang w:eastAsia="en-AU"/>
              </w:rPr>
            </w:pPr>
            <w:r w:rsidRPr="00CD7FE0">
              <w:rPr>
                <w:rFonts w:ascii="Calibri" w:eastAsia="Times New Roman" w:hAnsi="Calibri" w:cs="Arial"/>
                <w:lang w:eastAsia="en-AU"/>
              </w:rPr>
              <w:t>TV of FCF</w:t>
            </w:r>
          </w:p>
        </w:tc>
        <w:tc>
          <w:tcPr>
            <w:tcW w:w="1701" w:type="dxa"/>
            <w:noWrap/>
            <w:hideMark/>
          </w:tcPr>
          <w:p w:rsidR="00106158" w:rsidRPr="00084896" w:rsidRDefault="00106158" w:rsidP="005B603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000000"/>
                <w:lang w:eastAsia="en-AU"/>
              </w:rPr>
            </w:pPr>
            <w:r w:rsidRPr="00084896">
              <w:rPr>
                <w:rFonts w:ascii="Calibri" w:eastAsia="Times New Roman" w:hAnsi="Calibri" w:cs="Arial"/>
                <w:color w:val="000000"/>
                <w:lang w:eastAsia="en-AU"/>
              </w:rPr>
              <w:t xml:space="preserve"> $  1,231,764.18 </w:t>
            </w:r>
          </w:p>
        </w:tc>
        <w:tc>
          <w:tcPr>
            <w:tcW w:w="1701" w:type="dxa"/>
            <w:noWrap/>
            <w:hideMark/>
          </w:tcPr>
          <w:p w:rsidR="00106158" w:rsidRPr="00084896" w:rsidRDefault="00106158" w:rsidP="005B603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000000"/>
                <w:lang w:eastAsia="en-AU"/>
              </w:rPr>
            </w:pPr>
          </w:p>
        </w:tc>
        <w:tc>
          <w:tcPr>
            <w:tcW w:w="1701" w:type="dxa"/>
            <w:noWrap/>
            <w:hideMark/>
          </w:tcPr>
          <w:p w:rsidR="00106158" w:rsidRPr="00084896" w:rsidRDefault="00106158" w:rsidP="005B603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AU"/>
              </w:rPr>
            </w:pPr>
          </w:p>
        </w:tc>
        <w:tc>
          <w:tcPr>
            <w:tcW w:w="1701" w:type="dxa"/>
            <w:noWrap/>
            <w:hideMark/>
          </w:tcPr>
          <w:p w:rsidR="00106158" w:rsidRPr="00084896" w:rsidRDefault="00106158" w:rsidP="005B603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AU"/>
              </w:rPr>
            </w:pPr>
          </w:p>
        </w:tc>
        <w:tc>
          <w:tcPr>
            <w:tcW w:w="1695" w:type="dxa"/>
            <w:noWrap/>
            <w:hideMark/>
          </w:tcPr>
          <w:p w:rsidR="00106158" w:rsidRPr="00084896" w:rsidRDefault="00106158" w:rsidP="005B603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AU"/>
              </w:rPr>
            </w:pPr>
          </w:p>
        </w:tc>
      </w:tr>
      <w:tr w:rsidR="00106158" w:rsidRPr="00084896" w:rsidTr="005B6039">
        <w:trPr>
          <w:trHeight w:val="315"/>
        </w:trPr>
        <w:tc>
          <w:tcPr>
            <w:cnfStyle w:val="001000000000" w:firstRow="0" w:lastRow="0" w:firstColumn="1" w:lastColumn="0" w:oddVBand="0" w:evenVBand="0" w:oddHBand="0" w:evenHBand="0" w:firstRowFirstColumn="0" w:firstRowLastColumn="0" w:lastRowFirstColumn="0" w:lastRowLastColumn="0"/>
            <w:tcW w:w="1838" w:type="dxa"/>
            <w:noWrap/>
            <w:hideMark/>
          </w:tcPr>
          <w:p w:rsidR="00106158" w:rsidRPr="00CD7FE0" w:rsidRDefault="00106158" w:rsidP="005B6039">
            <w:pPr>
              <w:rPr>
                <w:rFonts w:ascii="Calibri" w:eastAsia="Times New Roman" w:hAnsi="Calibri" w:cs="Arial"/>
                <w:lang w:eastAsia="en-AU"/>
              </w:rPr>
            </w:pPr>
            <w:r w:rsidRPr="00CD7FE0">
              <w:rPr>
                <w:rFonts w:ascii="Calibri" w:eastAsia="Times New Roman" w:hAnsi="Calibri" w:cs="Arial"/>
                <w:lang w:eastAsia="en-AU"/>
              </w:rPr>
              <w:t xml:space="preserve">Equity Value </w:t>
            </w:r>
          </w:p>
        </w:tc>
        <w:tc>
          <w:tcPr>
            <w:tcW w:w="1701" w:type="dxa"/>
            <w:noWrap/>
            <w:hideMark/>
          </w:tcPr>
          <w:p w:rsidR="00106158" w:rsidRPr="00084896" w:rsidRDefault="00106158" w:rsidP="005B603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000000"/>
                <w:lang w:eastAsia="en-AU"/>
              </w:rPr>
            </w:pPr>
            <w:r w:rsidRPr="00084896">
              <w:rPr>
                <w:rFonts w:ascii="Calibri" w:eastAsia="Times New Roman" w:hAnsi="Calibri" w:cs="Arial"/>
                <w:color w:val="000000"/>
                <w:lang w:eastAsia="en-AU"/>
              </w:rPr>
              <w:t xml:space="preserve"> $        1,763,539 </w:t>
            </w:r>
          </w:p>
        </w:tc>
        <w:tc>
          <w:tcPr>
            <w:tcW w:w="1701" w:type="dxa"/>
            <w:noWrap/>
            <w:hideMark/>
          </w:tcPr>
          <w:p w:rsidR="00106158" w:rsidRPr="00084896" w:rsidRDefault="00106158" w:rsidP="005B603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000000"/>
                <w:lang w:eastAsia="en-AU"/>
              </w:rPr>
            </w:pPr>
            <w:r w:rsidRPr="00084896">
              <w:rPr>
                <w:rFonts w:ascii="Calibri" w:eastAsia="Times New Roman" w:hAnsi="Calibri" w:cs="Arial"/>
                <w:color w:val="000000"/>
                <w:lang w:eastAsia="en-AU"/>
              </w:rPr>
              <w:t>('000)</w:t>
            </w:r>
          </w:p>
        </w:tc>
        <w:tc>
          <w:tcPr>
            <w:tcW w:w="1701" w:type="dxa"/>
            <w:noWrap/>
            <w:hideMark/>
          </w:tcPr>
          <w:p w:rsidR="00106158" w:rsidRPr="00084896" w:rsidRDefault="00106158" w:rsidP="005B603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1701" w:type="dxa"/>
            <w:noWrap/>
            <w:hideMark/>
          </w:tcPr>
          <w:p w:rsidR="00106158" w:rsidRPr="00084896" w:rsidRDefault="00106158" w:rsidP="005B603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1695" w:type="dxa"/>
            <w:noWrap/>
            <w:hideMark/>
          </w:tcPr>
          <w:p w:rsidR="00106158" w:rsidRPr="00084896" w:rsidRDefault="00106158" w:rsidP="005B603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r>
      <w:tr w:rsidR="00106158" w:rsidRPr="00084896" w:rsidTr="005B603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838" w:type="dxa"/>
            <w:noWrap/>
            <w:hideMark/>
          </w:tcPr>
          <w:p w:rsidR="00106158" w:rsidRPr="00CD7FE0" w:rsidRDefault="00106158" w:rsidP="005B6039">
            <w:pPr>
              <w:rPr>
                <w:rFonts w:ascii="Calibri" w:eastAsia="Times New Roman" w:hAnsi="Calibri" w:cs="Arial"/>
                <w:lang w:eastAsia="en-AU"/>
              </w:rPr>
            </w:pPr>
            <w:r w:rsidRPr="00CD7FE0">
              <w:rPr>
                <w:rFonts w:ascii="Calibri" w:eastAsia="Times New Roman" w:hAnsi="Calibri" w:cs="Arial"/>
                <w:lang w:eastAsia="en-AU"/>
              </w:rPr>
              <w:t>Number of shares</w:t>
            </w:r>
          </w:p>
        </w:tc>
        <w:tc>
          <w:tcPr>
            <w:tcW w:w="1701" w:type="dxa"/>
            <w:noWrap/>
            <w:hideMark/>
          </w:tcPr>
          <w:p w:rsidR="00106158" w:rsidRPr="00084896" w:rsidRDefault="00106158" w:rsidP="005B603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000000"/>
                <w:lang w:eastAsia="en-AU"/>
              </w:rPr>
            </w:pPr>
            <w:r w:rsidRPr="00084896">
              <w:rPr>
                <w:rFonts w:ascii="Calibri" w:eastAsia="Times New Roman" w:hAnsi="Calibri" w:cs="Arial"/>
                <w:color w:val="000000"/>
                <w:lang w:eastAsia="en-AU"/>
              </w:rPr>
              <w:t xml:space="preserve">   2,351,955,725 </w:t>
            </w:r>
          </w:p>
        </w:tc>
        <w:tc>
          <w:tcPr>
            <w:tcW w:w="1701" w:type="dxa"/>
            <w:noWrap/>
            <w:hideMark/>
          </w:tcPr>
          <w:p w:rsidR="00106158" w:rsidRPr="00084896" w:rsidRDefault="00106158" w:rsidP="005B603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000000"/>
                <w:lang w:eastAsia="en-AU"/>
              </w:rPr>
            </w:pPr>
          </w:p>
        </w:tc>
        <w:tc>
          <w:tcPr>
            <w:tcW w:w="1701" w:type="dxa"/>
            <w:noWrap/>
            <w:hideMark/>
          </w:tcPr>
          <w:p w:rsidR="00106158" w:rsidRPr="00084896" w:rsidRDefault="00106158" w:rsidP="005B603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000000"/>
                <w:lang w:eastAsia="en-AU"/>
              </w:rPr>
            </w:pPr>
          </w:p>
        </w:tc>
        <w:tc>
          <w:tcPr>
            <w:tcW w:w="1701" w:type="dxa"/>
            <w:noWrap/>
            <w:hideMark/>
          </w:tcPr>
          <w:p w:rsidR="00106158" w:rsidRPr="00084896" w:rsidRDefault="00106158" w:rsidP="005B603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AU"/>
              </w:rPr>
            </w:pPr>
          </w:p>
        </w:tc>
        <w:tc>
          <w:tcPr>
            <w:tcW w:w="1695" w:type="dxa"/>
            <w:noWrap/>
            <w:hideMark/>
          </w:tcPr>
          <w:p w:rsidR="00106158" w:rsidRPr="00084896" w:rsidRDefault="00106158" w:rsidP="005B603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AU"/>
              </w:rPr>
            </w:pPr>
          </w:p>
        </w:tc>
      </w:tr>
      <w:tr w:rsidR="00106158" w:rsidRPr="00084896" w:rsidTr="005B6039">
        <w:trPr>
          <w:trHeight w:val="330"/>
        </w:trPr>
        <w:tc>
          <w:tcPr>
            <w:cnfStyle w:val="001000000000" w:firstRow="0" w:lastRow="0" w:firstColumn="1" w:lastColumn="0" w:oddVBand="0" w:evenVBand="0" w:oddHBand="0" w:evenHBand="0" w:firstRowFirstColumn="0" w:firstRowLastColumn="0" w:lastRowFirstColumn="0" w:lastRowLastColumn="0"/>
            <w:tcW w:w="1838" w:type="dxa"/>
            <w:noWrap/>
            <w:hideMark/>
          </w:tcPr>
          <w:p w:rsidR="00106158" w:rsidRPr="00CD7FE0" w:rsidRDefault="00106158" w:rsidP="005B6039">
            <w:pPr>
              <w:rPr>
                <w:rFonts w:ascii="Calibri" w:eastAsia="Times New Roman" w:hAnsi="Calibri" w:cs="Arial"/>
                <w:lang w:eastAsia="en-AU"/>
              </w:rPr>
            </w:pPr>
            <w:r w:rsidRPr="00CD7FE0">
              <w:rPr>
                <w:rFonts w:ascii="Calibri" w:eastAsia="Times New Roman" w:hAnsi="Calibri" w:cs="Arial"/>
                <w:lang w:eastAsia="en-AU"/>
              </w:rPr>
              <w:t>Estimated value per share</w:t>
            </w:r>
          </w:p>
        </w:tc>
        <w:tc>
          <w:tcPr>
            <w:tcW w:w="1701" w:type="dxa"/>
            <w:noWrap/>
            <w:hideMark/>
          </w:tcPr>
          <w:p w:rsidR="00106158" w:rsidRPr="00084896" w:rsidRDefault="00106158" w:rsidP="005B603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000000"/>
                <w:lang w:eastAsia="en-AU"/>
              </w:rPr>
            </w:pPr>
            <w:r w:rsidRPr="00084896">
              <w:rPr>
                <w:rFonts w:ascii="Calibri" w:eastAsia="Times New Roman" w:hAnsi="Calibri" w:cs="Arial"/>
                <w:b/>
                <w:bCs/>
                <w:color w:val="000000"/>
                <w:lang w:eastAsia="en-AU"/>
              </w:rPr>
              <w:t xml:space="preserve"> $                  0.75 </w:t>
            </w:r>
          </w:p>
        </w:tc>
        <w:tc>
          <w:tcPr>
            <w:tcW w:w="1701" w:type="dxa"/>
            <w:noWrap/>
            <w:hideMark/>
          </w:tcPr>
          <w:p w:rsidR="00106158" w:rsidRPr="00084896" w:rsidRDefault="00106158" w:rsidP="005B603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000000"/>
                <w:lang w:eastAsia="en-AU"/>
              </w:rPr>
            </w:pPr>
          </w:p>
        </w:tc>
        <w:tc>
          <w:tcPr>
            <w:tcW w:w="1701" w:type="dxa"/>
            <w:noWrap/>
            <w:hideMark/>
          </w:tcPr>
          <w:p w:rsidR="00106158" w:rsidRPr="00084896" w:rsidRDefault="00106158" w:rsidP="005B603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1701" w:type="dxa"/>
            <w:noWrap/>
            <w:hideMark/>
          </w:tcPr>
          <w:p w:rsidR="00106158" w:rsidRPr="00084896" w:rsidRDefault="00106158" w:rsidP="005B603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1695" w:type="dxa"/>
            <w:noWrap/>
            <w:hideMark/>
          </w:tcPr>
          <w:p w:rsidR="00106158" w:rsidRPr="00084896" w:rsidRDefault="00106158" w:rsidP="005B603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r>
      <w:tr w:rsidR="00106158" w:rsidRPr="00084896" w:rsidTr="005B603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38" w:type="dxa"/>
            <w:noWrap/>
          </w:tcPr>
          <w:p w:rsidR="00106158" w:rsidRPr="00CD7FE0" w:rsidRDefault="00106158" w:rsidP="005B6039">
            <w:pPr>
              <w:rPr>
                <w:rFonts w:ascii="Calibri" w:eastAsia="Times New Roman" w:hAnsi="Calibri" w:cs="Arial"/>
                <w:lang w:eastAsia="en-AU"/>
              </w:rPr>
            </w:pPr>
          </w:p>
        </w:tc>
        <w:tc>
          <w:tcPr>
            <w:tcW w:w="1701" w:type="dxa"/>
            <w:noWrap/>
          </w:tcPr>
          <w:p w:rsidR="00106158" w:rsidRPr="00084896" w:rsidRDefault="00106158" w:rsidP="005B603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color w:val="000000"/>
                <w:lang w:eastAsia="en-AU"/>
              </w:rPr>
            </w:pPr>
          </w:p>
        </w:tc>
        <w:tc>
          <w:tcPr>
            <w:tcW w:w="1701" w:type="dxa"/>
            <w:noWrap/>
          </w:tcPr>
          <w:p w:rsidR="00106158" w:rsidRPr="00084896" w:rsidRDefault="00106158" w:rsidP="005B603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color w:val="000000"/>
                <w:lang w:eastAsia="en-AU"/>
              </w:rPr>
            </w:pPr>
          </w:p>
        </w:tc>
        <w:tc>
          <w:tcPr>
            <w:tcW w:w="1701" w:type="dxa"/>
            <w:noWrap/>
          </w:tcPr>
          <w:p w:rsidR="00106158" w:rsidRPr="00084896" w:rsidRDefault="00106158" w:rsidP="005B603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AU"/>
              </w:rPr>
            </w:pPr>
          </w:p>
        </w:tc>
        <w:tc>
          <w:tcPr>
            <w:tcW w:w="1701" w:type="dxa"/>
            <w:noWrap/>
          </w:tcPr>
          <w:p w:rsidR="00106158" w:rsidRPr="00084896" w:rsidRDefault="00106158" w:rsidP="005B603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AU"/>
              </w:rPr>
            </w:pPr>
          </w:p>
        </w:tc>
        <w:tc>
          <w:tcPr>
            <w:tcW w:w="1695" w:type="dxa"/>
            <w:noWrap/>
          </w:tcPr>
          <w:p w:rsidR="00106158" w:rsidRPr="00084896" w:rsidRDefault="00106158" w:rsidP="005B603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AU"/>
              </w:rPr>
            </w:pPr>
          </w:p>
        </w:tc>
      </w:tr>
    </w:tbl>
    <w:p w:rsidR="002F7FD5" w:rsidRPr="005B6039" w:rsidRDefault="002F7FD5" w:rsidP="00593005">
      <w:pPr>
        <w:pStyle w:val="3"/>
        <w:rPr>
          <w:sz w:val="28"/>
        </w:rPr>
      </w:pPr>
      <w:r w:rsidRPr="005B6039">
        <w:rPr>
          <w:sz w:val="28"/>
        </w:rPr>
        <w:t>Free Cash Flow Valuation Method</w:t>
      </w:r>
      <w:bookmarkEnd w:id="7"/>
    </w:p>
    <w:p w:rsidR="00757988" w:rsidRPr="00106158" w:rsidRDefault="00106158" w:rsidP="00106158">
      <w:pPr>
        <w:spacing w:line="312" w:lineRule="auto"/>
        <w:rPr>
          <w:sz w:val="24"/>
        </w:rPr>
      </w:pPr>
      <w:r>
        <w:rPr>
          <w:sz w:val="24"/>
        </w:rPr>
        <w:br/>
      </w:r>
      <w:r w:rsidR="00757988" w:rsidRPr="00106158">
        <w:rPr>
          <w:sz w:val="24"/>
        </w:rPr>
        <w:t>The Free Cash Flow valuation method determines the value of a company through the cash flow that it generates for its shareholders. This is done by calculating the present value of the Free Cash Flows that are forecasted to be generated over the next five years and then adding this figure to t</w:t>
      </w:r>
      <w:r w:rsidR="00CD7FE0" w:rsidRPr="00106158">
        <w:rPr>
          <w:sz w:val="24"/>
        </w:rPr>
        <w:t>he terminal value of the FCF to get an equity value. Dividing this figure by the number of shares gives an estimated value per share, which is $0.75 for Fairfax.</w:t>
      </w:r>
    </w:p>
    <w:p w:rsidR="002F7FD5" w:rsidRPr="005B6039" w:rsidRDefault="002F7FD5" w:rsidP="00593005">
      <w:pPr>
        <w:pStyle w:val="3"/>
        <w:rPr>
          <w:sz w:val="28"/>
        </w:rPr>
      </w:pPr>
      <w:bookmarkStart w:id="8" w:name="_Toc420625245"/>
      <w:r w:rsidRPr="005B6039">
        <w:rPr>
          <w:sz w:val="28"/>
        </w:rPr>
        <w:t>Abnormal Earnings Valuation Method</w:t>
      </w:r>
      <w:bookmarkEnd w:id="8"/>
    </w:p>
    <w:tbl>
      <w:tblPr>
        <w:tblStyle w:val="GridTable5DarkAccent1"/>
        <w:tblW w:w="10174" w:type="dxa"/>
        <w:tblInd w:w="-583" w:type="dxa"/>
        <w:tblLook w:val="04A0" w:firstRow="1" w:lastRow="0" w:firstColumn="1" w:lastColumn="0" w:noHBand="0" w:noVBand="1"/>
      </w:tblPr>
      <w:tblGrid>
        <w:gridCol w:w="2015"/>
        <w:gridCol w:w="1764"/>
        <w:gridCol w:w="1638"/>
        <w:gridCol w:w="1559"/>
        <w:gridCol w:w="1559"/>
        <w:gridCol w:w="1639"/>
      </w:tblGrid>
      <w:tr w:rsidR="00757988" w:rsidRPr="00757988" w:rsidTr="0010615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15" w:type="dxa"/>
            <w:noWrap/>
            <w:hideMark/>
          </w:tcPr>
          <w:p w:rsidR="00757988" w:rsidRPr="00CD7FE0" w:rsidRDefault="00757988" w:rsidP="00757988">
            <w:pPr>
              <w:rPr>
                <w:rFonts w:ascii="Calibri" w:eastAsia="Times New Roman" w:hAnsi="Calibri" w:cs="Arial"/>
                <w:lang w:eastAsia="en-AU"/>
              </w:rPr>
            </w:pPr>
            <w:r w:rsidRPr="00CD7FE0">
              <w:rPr>
                <w:rFonts w:ascii="Calibri" w:eastAsia="Times New Roman" w:hAnsi="Calibri" w:cs="Arial"/>
                <w:lang w:eastAsia="en-AU"/>
              </w:rPr>
              <w:t>AE analysis</w:t>
            </w:r>
          </w:p>
        </w:tc>
        <w:tc>
          <w:tcPr>
            <w:tcW w:w="1764" w:type="dxa"/>
            <w:noWrap/>
            <w:hideMark/>
          </w:tcPr>
          <w:p w:rsidR="00757988" w:rsidRPr="00CD7FE0" w:rsidRDefault="00757988" w:rsidP="00757988">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Arial"/>
                <w:lang w:eastAsia="en-AU"/>
              </w:rPr>
            </w:pPr>
            <w:r w:rsidRPr="00CD7FE0">
              <w:rPr>
                <w:rFonts w:ascii="Calibri" w:eastAsia="Times New Roman" w:hAnsi="Calibri" w:cs="Arial"/>
                <w:lang w:eastAsia="en-AU"/>
              </w:rPr>
              <w:t>2015</w:t>
            </w:r>
          </w:p>
        </w:tc>
        <w:tc>
          <w:tcPr>
            <w:tcW w:w="1638" w:type="dxa"/>
            <w:noWrap/>
            <w:hideMark/>
          </w:tcPr>
          <w:p w:rsidR="00757988" w:rsidRPr="00CD7FE0" w:rsidRDefault="00757988" w:rsidP="00757988">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Arial"/>
                <w:lang w:eastAsia="en-AU"/>
              </w:rPr>
            </w:pPr>
            <w:r w:rsidRPr="00CD7FE0">
              <w:rPr>
                <w:rFonts w:ascii="Calibri" w:eastAsia="Times New Roman" w:hAnsi="Calibri" w:cs="Arial"/>
                <w:lang w:eastAsia="en-AU"/>
              </w:rPr>
              <w:t>2016</w:t>
            </w:r>
          </w:p>
        </w:tc>
        <w:tc>
          <w:tcPr>
            <w:tcW w:w="1559" w:type="dxa"/>
            <w:noWrap/>
            <w:hideMark/>
          </w:tcPr>
          <w:p w:rsidR="00757988" w:rsidRPr="00CD7FE0" w:rsidRDefault="00757988" w:rsidP="00757988">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Arial"/>
                <w:lang w:eastAsia="en-AU"/>
              </w:rPr>
            </w:pPr>
            <w:r w:rsidRPr="00CD7FE0">
              <w:rPr>
                <w:rFonts w:ascii="Calibri" w:eastAsia="Times New Roman" w:hAnsi="Calibri" w:cs="Arial"/>
                <w:lang w:eastAsia="en-AU"/>
              </w:rPr>
              <w:t>2017</w:t>
            </w:r>
          </w:p>
        </w:tc>
        <w:tc>
          <w:tcPr>
            <w:tcW w:w="1559" w:type="dxa"/>
            <w:noWrap/>
            <w:hideMark/>
          </w:tcPr>
          <w:p w:rsidR="00757988" w:rsidRPr="00CD7FE0" w:rsidRDefault="00757988" w:rsidP="00757988">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Arial"/>
                <w:lang w:eastAsia="en-AU"/>
              </w:rPr>
            </w:pPr>
            <w:r w:rsidRPr="00CD7FE0">
              <w:rPr>
                <w:rFonts w:ascii="Calibri" w:eastAsia="Times New Roman" w:hAnsi="Calibri" w:cs="Arial"/>
                <w:lang w:eastAsia="en-AU"/>
              </w:rPr>
              <w:t>2018</w:t>
            </w:r>
          </w:p>
        </w:tc>
        <w:tc>
          <w:tcPr>
            <w:tcW w:w="1639" w:type="dxa"/>
            <w:noWrap/>
            <w:hideMark/>
          </w:tcPr>
          <w:p w:rsidR="00757988" w:rsidRPr="00CD7FE0" w:rsidRDefault="00757988" w:rsidP="00757988">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Arial"/>
                <w:lang w:eastAsia="en-AU"/>
              </w:rPr>
            </w:pPr>
            <w:r w:rsidRPr="00CD7FE0">
              <w:rPr>
                <w:rFonts w:ascii="Calibri" w:eastAsia="Times New Roman" w:hAnsi="Calibri" w:cs="Arial"/>
                <w:lang w:eastAsia="en-AU"/>
              </w:rPr>
              <w:t>2019</w:t>
            </w:r>
          </w:p>
        </w:tc>
      </w:tr>
      <w:tr w:rsidR="00757988" w:rsidRPr="00757988" w:rsidTr="001061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15" w:type="dxa"/>
            <w:noWrap/>
            <w:hideMark/>
          </w:tcPr>
          <w:p w:rsidR="00757988" w:rsidRPr="00CD7FE0" w:rsidRDefault="00757988" w:rsidP="00757988">
            <w:pPr>
              <w:rPr>
                <w:rFonts w:ascii="Calibri" w:eastAsia="Times New Roman" w:hAnsi="Calibri" w:cs="Arial"/>
                <w:lang w:eastAsia="en-AU"/>
              </w:rPr>
            </w:pPr>
            <w:r w:rsidRPr="00CD7FE0">
              <w:rPr>
                <w:rFonts w:ascii="Calibri" w:eastAsia="Times New Roman" w:hAnsi="Calibri" w:cs="Arial"/>
                <w:lang w:eastAsia="en-AU"/>
              </w:rPr>
              <w:t>Required (normal) earnings</w:t>
            </w:r>
          </w:p>
        </w:tc>
        <w:tc>
          <w:tcPr>
            <w:tcW w:w="1764" w:type="dxa"/>
            <w:noWrap/>
            <w:hideMark/>
          </w:tcPr>
          <w:p w:rsidR="00757988" w:rsidRPr="00757988" w:rsidRDefault="00757988" w:rsidP="0075798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000000"/>
                <w:lang w:eastAsia="en-AU"/>
              </w:rPr>
            </w:pPr>
            <w:r w:rsidRPr="00757988">
              <w:rPr>
                <w:rFonts w:ascii="Calibri" w:eastAsia="Times New Roman" w:hAnsi="Calibri" w:cs="Arial"/>
                <w:color w:val="000000"/>
                <w:lang w:eastAsia="en-AU"/>
              </w:rPr>
              <w:t xml:space="preserve"> $     218,973.59 </w:t>
            </w:r>
          </w:p>
        </w:tc>
        <w:tc>
          <w:tcPr>
            <w:tcW w:w="1638" w:type="dxa"/>
            <w:noWrap/>
            <w:hideMark/>
          </w:tcPr>
          <w:p w:rsidR="00757988" w:rsidRPr="00757988" w:rsidRDefault="00757988" w:rsidP="0075798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000000"/>
                <w:lang w:eastAsia="en-AU"/>
              </w:rPr>
            </w:pPr>
            <w:r w:rsidRPr="00757988">
              <w:rPr>
                <w:rFonts w:ascii="Calibri" w:eastAsia="Times New Roman" w:hAnsi="Calibri" w:cs="Arial"/>
                <w:color w:val="000000"/>
                <w:lang w:eastAsia="en-AU"/>
              </w:rPr>
              <w:t xml:space="preserve"> $  223,383.37 </w:t>
            </w:r>
          </w:p>
        </w:tc>
        <w:tc>
          <w:tcPr>
            <w:tcW w:w="1559" w:type="dxa"/>
            <w:noWrap/>
            <w:hideMark/>
          </w:tcPr>
          <w:p w:rsidR="00757988" w:rsidRPr="00757988" w:rsidRDefault="00757988" w:rsidP="0075798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000000"/>
                <w:lang w:eastAsia="en-AU"/>
              </w:rPr>
            </w:pPr>
            <w:r w:rsidRPr="00757988">
              <w:rPr>
                <w:rFonts w:ascii="Calibri" w:eastAsia="Times New Roman" w:hAnsi="Calibri" w:cs="Arial"/>
                <w:color w:val="000000"/>
                <w:lang w:eastAsia="en-AU"/>
              </w:rPr>
              <w:t xml:space="preserve"> $  228,229.74 </w:t>
            </w:r>
          </w:p>
        </w:tc>
        <w:tc>
          <w:tcPr>
            <w:tcW w:w="1559" w:type="dxa"/>
            <w:noWrap/>
            <w:hideMark/>
          </w:tcPr>
          <w:p w:rsidR="00757988" w:rsidRPr="00757988" w:rsidRDefault="00757988" w:rsidP="0075798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000000"/>
                <w:lang w:eastAsia="en-AU"/>
              </w:rPr>
            </w:pPr>
            <w:r w:rsidRPr="00757988">
              <w:rPr>
                <w:rFonts w:ascii="Calibri" w:eastAsia="Times New Roman" w:hAnsi="Calibri" w:cs="Arial"/>
                <w:color w:val="000000"/>
                <w:lang w:eastAsia="en-AU"/>
              </w:rPr>
              <w:t xml:space="preserve"> $  233,273.64 </w:t>
            </w:r>
          </w:p>
        </w:tc>
        <w:tc>
          <w:tcPr>
            <w:tcW w:w="1639" w:type="dxa"/>
            <w:noWrap/>
            <w:hideMark/>
          </w:tcPr>
          <w:p w:rsidR="00757988" w:rsidRPr="00757988" w:rsidRDefault="00757988" w:rsidP="0075798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000000"/>
                <w:lang w:eastAsia="en-AU"/>
              </w:rPr>
            </w:pPr>
            <w:r w:rsidRPr="00757988">
              <w:rPr>
                <w:rFonts w:ascii="Calibri" w:eastAsia="Times New Roman" w:hAnsi="Calibri" w:cs="Arial"/>
                <w:color w:val="000000"/>
                <w:lang w:eastAsia="en-AU"/>
              </w:rPr>
              <w:t xml:space="preserve"> $  239,130.99 </w:t>
            </w:r>
          </w:p>
        </w:tc>
      </w:tr>
      <w:tr w:rsidR="00757988" w:rsidRPr="00757988" w:rsidTr="00106158">
        <w:trPr>
          <w:trHeight w:val="315"/>
        </w:trPr>
        <w:tc>
          <w:tcPr>
            <w:cnfStyle w:val="001000000000" w:firstRow="0" w:lastRow="0" w:firstColumn="1" w:lastColumn="0" w:oddVBand="0" w:evenVBand="0" w:oddHBand="0" w:evenHBand="0" w:firstRowFirstColumn="0" w:firstRowLastColumn="0" w:lastRowFirstColumn="0" w:lastRowLastColumn="0"/>
            <w:tcW w:w="2015" w:type="dxa"/>
            <w:noWrap/>
            <w:hideMark/>
          </w:tcPr>
          <w:p w:rsidR="00757988" w:rsidRPr="00CD7FE0" w:rsidRDefault="00757988" w:rsidP="00757988">
            <w:pPr>
              <w:rPr>
                <w:rFonts w:ascii="Calibri" w:eastAsia="Times New Roman" w:hAnsi="Calibri" w:cs="Arial"/>
                <w:lang w:eastAsia="en-AU"/>
              </w:rPr>
            </w:pPr>
            <w:r w:rsidRPr="00CD7FE0">
              <w:rPr>
                <w:rFonts w:ascii="Calibri" w:eastAsia="Times New Roman" w:hAnsi="Calibri" w:cs="Arial"/>
                <w:lang w:eastAsia="en-AU"/>
              </w:rPr>
              <w:t>Abnormal earnings</w:t>
            </w:r>
          </w:p>
        </w:tc>
        <w:tc>
          <w:tcPr>
            <w:tcW w:w="1764" w:type="dxa"/>
            <w:noWrap/>
            <w:hideMark/>
          </w:tcPr>
          <w:p w:rsidR="00757988" w:rsidRPr="00757988" w:rsidRDefault="00757988" w:rsidP="0075798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000000"/>
                <w:lang w:eastAsia="en-AU"/>
              </w:rPr>
            </w:pPr>
            <w:r w:rsidRPr="00757988">
              <w:rPr>
                <w:rFonts w:ascii="Calibri" w:eastAsia="Times New Roman" w:hAnsi="Calibri" w:cs="Arial"/>
                <w:color w:val="000000"/>
                <w:lang w:eastAsia="en-AU"/>
              </w:rPr>
              <w:t xml:space="preserve"> $     (65,306.41)</w:t>
            </w:r>
          </w:p>
        </w:tc>
        <w:tc>
          <w:tcPr>
            <w:tcW w:w="1638" w:type="dxa"/>
            <w:noWrap/>
            <w:hideMark/>
          </w:tcPr>
          <w:p w:rsidR="00757988" w:rsidRPr="00757988" w:rsidRDefault="00757988" w:rsidP="0075798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000000"/>
                <w:lang w:eastAsia="en-AU"/>
              </w:rPr>
            </w:pPr>
            <w:r w:rsidRPr="00757988">
              <w:rPr>
                <w:rFonts w:ascii="Calibri" w:eastAsia="Times New Roman" w:hAnsi="Calibri" w:cs="Arial"/>
                <w:color w:val="000000"/>
                <w:lang w:eastAsia="en-AU"/>
              </w:rPr>
              <w:t xml:space="preserve"> $  (59,464.35)</w:t>
            </w:r>
          </w:p>
        </w:tc>
        <w:tc>
          <w:tcPr>
            <w:tcW w:w="1559" w:type="dxa"/>
            <w:noWrap/>
            <w:hideMark/>
          </w:tcPr>
          <w:p w:rsidR="00757988" w:rsidRPr="00757988" w:rsidRDefault="00757988" w:rsidP="0075798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000000"/>
                <w:lang w:eastAsia="en-AU"/>
              </w:rPr>
            </w:pPr>
            <w:r w:rsidRPr="00757988">
              <w:rPr>
                <w:rFonts w:ascii="Calibri" w:eastAsia="Times New Roman" w:hAnsi="Calibri" w:cs="Arial"/>
                <w:color w:val="000000"/>
                <w:lang w:eastAsia="en-AU"/>
              </w:rPr>
              <w:t xml:space="preserve"> $  (40,479.75)</w:t>
            </w:r>
          </w:p>
        </w:tc>
        <w:tc>
          <w:tcPr>
            <w:tcW w:w="1559" w:type="dxa"/>
            <w:noWrap/>
            <w:hideMark/>
          </w:tcPr>
          <w:p w:rsidR="00757988" w:rsidRPr="00757988" w:rsidRDefault="00757988" w:rsidP="0075798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000000"/>
                <w:lang w:eastAsia="en-AU"/>
              </w:rPr>
            </w:pPr>
            <w:r w:rsidRPr="00757988">
              <w:rPr>
                <w:rFonts w:ascii="Calibri" w:eastAsia="Times New Roman" w:hAnsi="Calibri" w:cs="Arial"/>
                <w:color w:val="000000"/>
                <w:lang w:eastAsia="en-AU"/>
              </w:rPr>
              <w:t xml:space="preserve"> $  (13,843.15)</w:t>
            </w:r>
          </w:p>
        </w:tc>
        <w:tc>
          <w:tcPr>
            <w:tcW w:w="1639" w:type="dxa"/>
            <w:noWrap/>
            <w:hideMark/>
          </w:tcPr>
          <w:p w:rsidR="00757988" w:rsidRPr="00757988" w:rsidRDefault="00757988" w:rsidP="0075798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000000"/>
                <w:lang w:eastAsia="en-AU"/>
              </w:rPr>
            </w:pPr>
            <w:r w:rsidRPr="00757988">
              <w:rPr>
                <w:rFonts w:ascii="Calibri" w:eastAsia="Times New Roman" w:hAnsi="Calibri" w:cs="Arial"/>
                <w:color w:val="000000"/>
                <w:lang w:eastAsia="en-AU"/>
              </w:rPr>
              <w:t xml:space="preserve"> $    18,188.36 </w:t>
            </w:r>
          </w:p>
        </w:tc>
      </w:tr>
      <w:tr w:rsidR="00757988" w:rsidRPr="00757988" w:rsidTr="0010615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015" w:type="dxa"/>
            <w:noWrap/>
            <w:hideMark/>
          </w:tcPr>
          <w:p w:rsidR="00757988" w:rsidRPr="00CD7FE0" w:rsidRDefault="00757988" w:rsidP="00757988">
            <w:pPr>
              <w:rPr>
                <w:rFonts w:ascii="Calibri" w:eastAsia="Times New Roman" w:hAnsi="Calibri" w:cs="Arial"/>
                <w:lang w:eastAsia="en-AU"/>
              </w:rPr>
            </w:pPr>
            <w:r w:rsidRPr="00CD7FE0">
              <w:rPr>
                <w:rFonts w:ascii="Calibri" w:eastAsia="Times New Roman" w:hAnsi="Calibri" w:cs="Arial"/>
                <w:lang w:eastAsia="en-AU"/>
              </w:rPr>
              <w:t>PV of abnormal earnings</w:t>
            </w:r>
          </w:p>
        </w:tc>
        <w:tc>
          <w:tcPr>
            <w:tcW w:w="1764" w:type="dxa"/>
            <w:noWrap/>
            <w:hideMark/>
          </w:tcPr>
          <w:p w:rsidR="00757988" w:rsidRPr="00757988" w:rsidRDefault="00757988" w:rsidP="0075798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000000"/>
                <w:lang w:eastAsia="en-AU"/>
              </w:rPr>
            </w:pPr>
            <w:r w:rsidRPr="00757988">
              <w:rPr>
                <w:rFonts w:ascii="Calibri" w:eastAsia="Times New Roman" w:hAnsi="Calibri" w:cs="Arial"/>
                <w:color w:val="000000"/>
                <w:lang w:eastAsia="en-AU"/>
              </w:rPr>
              <w:t xml:space="preserve"> $     (58,834.61)</w:t>
            </w:r>
          </w:p>
        </w:tc>
        <w:tc>
          <w:tcPr>
            <w:tcW w:w="1638" w:type="dxa"/>
            <w:noWrap/>
            <w:hideMark/>
          </w:tcPr>
          <w:p w:rsidR="00757988" w:rsidRPr="00757988" w:rsidRDefault="00757988" w:rsidP="0075798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000000"/>
                <w:lang w:eastAsia="en-AU"/>
              </w:rPr>
            </w:pPr>
            <w:r w:rsidRPr="00757988">
              <w:rPr>
                <w:rFonts w:ascii="Calibri" w:eastAsia="Times New Roman" w:hAnsi="Calibri" w:cs="Arial"/>
                <w:color w:val="000000"/>
                <w:lang w:eastAsia="en-AU"/>
              </w:rPr>
              <w:t xml:space="preserve"> $  (48,262.60)</w:t>
            </w:r>
          </w:p>
        </w:tc>
        <w:tc>
          <w:tcPr>
            <w:tcW w:w="1559" w:type="dxa"/>
            <w:noWrap/>
            <w:hideMark/>
          </w:tcPr>
          <w:p w:rsidR="00757988" w:rsidRPr="00757988" w:rsidRDefault="00757988" w:rsidP="0075798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000000"/>
                <w:lang w:eastAsia="en-AU"/>
              </w:rPr>
            </w:pPr>
            <w:r w:rsidRPr="00757988">
              <w:rPr>
                <w:rFonts w:ascii="Calibri" w:eastAsia="Times New Roman" w:hAnsi="Calibri" w:cs="Arial"/>
                <w:color w:val="000000"/>
                <w:lang w:eastAsia="en-AU"/>
              </w:rPr>
              <w:t xml:space="preserve"> $  (29,598.44)</w:t>
            </w:r>
          </w:p>
        </w:tc>
        <w:tc>
          <w:tcPr>
            <w:tcW w:w="1559" w:type="dxa"/>
            <w:noWrap/>
            <w:hideMark/>
          </w:tcPr>
          <w:p w:rsidR="00757988" w:rsidRPr="00757988" w:rsidRDefault="00757988" w:rsidP="0075798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000000"/>
                <w:lang w:eastAsia="en-AU"/>
              </w:rPr>
            </w:pPr>
            <w:r w:rsidRPr="00757988">
              <w:rPr>
                <w:rFonts w:ascii="Calibri" w:eastAsia="Times New Roman" w:hAnsi="Calibri" w:cs="Arial"/>
                <w:color w:val="000000"/>
                <w:lang w:eastAsia="en-AU"/>
              </w:rPr>
              <w:t xml:space="preserve"> $    (9,118.91)</w:t>
            </w:r>
          </w:p>
        </w:tc>
        <w:tc>
          <w:tcPr>
            <w:tcW w:w="1639" w:type="dxa"/>
            <w:noWrap/>
            <w:hideMark/>
          </w:tcPr>
          <w:p w:rsidR="00757988" w:rsidRPr="00757988" w:rsidRDefault="00757988" w:rsidP="0075798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000000"/>
                <w:lang w:eastAsia="en-AU"/>
              </w:rPr>
            </w:pPr>
            <w:r w:rsidRPr="00757988">
              <w:rPr>
                <w:rFonts w:ascii="Calibri" w:eastAsia="Times New Roman" w:hAnsi="Calibri" w:cs="Arial"/>
                <w:color w:val="000000"/>
                <w:lang w:eastAsia="en-AU"/>
              </w:rPr>
              <w:t xml:space="preserve"> $    10,793.91 </w:t>
            </w:r>
          </w:p>
        </w:tc>
      </w:tr>
      <w:tr w:rsidR="00757988" w:rsidRPr="00757988" w:rsidTr="00106158">
        <w:trPr>
          <w:trHeight w:val="315"/>
        </w:trPr>
        <w:tc>
          <w:tcPr>
            <w:cnfStyle w:val="001000000000" w:firstRow="0" w:lastRow="0" w:firstColumn="1" w:lastColumn="0" w:oddVBand="0" w:evenVBand="0" w:oddHBand="0" w:evenHBand="0" w:firstRowFirstColumn="0" w:firstRowLastColumn="0" w:lastRowFirstColumn="0" w:lastRowLastColumn="0"/>
            <w:tcW w:w="2015" w:type="dxa"/>
            <w:noWrap/>
            <w:hideMark/>
          </w:tcPr>
          <w:p w:rsidR="00757988" w:rsidRPr="00CD7FE0" w:rsidRDefault="00757988" w:rsidP="00757988">
            <w:pPr>
              <w:rPr>
                <w:rFonts w:ascii="Calibri" w:eastAsia="Times New Roman" w:hAnsi="Calibri" w:cs="Arial"/>
                <w:lang w:eastAsia="en-AU"/>
              </w:rPr>
            </w:pPr>
            <w:r w:rsidRPr="00CD7FE0">
              <w:rPr>
                <w:rFonts w:ascii="Calibri" w:eastAsia="Times New Roman" w:hAnsi="Calibri" w:cs="Arial"/>
                <w:lang w:eastAsia="en-AU"/>
              </w:rPr>
              <w:t>Sum of PV</w:t>
            </w:r>
          </w:p>
        </w:tc>
        <w:tc>
          <w:tcPr>
            <w:tcW w:w="1764" w:type="dxa"/>
            <w:noWrap/>
            <w:hideMark/>
          </w:tcPr>
          <w:p w:rsidR="00757988" w:rsidRPr="00757988" w:rsidRDefault="00757988" w:rsidP="0075798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000000"/>
                <w:lang w:eastAsia="en-AU"/>
              </w:rPr>
            </w:pPr>
            <w:r w:rsidRPr="00757988">
              <w:rPr>
                <w:rFonts w:ascii="Calibri" w:eastAsia="Times New Roman" w:hAnsi="Calibri" w:cs="Arial"/>
                <w:color w:val="000000"/>
                <w:lang w:eastAsia="en-AU"/>
              </w:rPr>
              <w:t xml:space="preserve"> $   (135,020.66)</w:t>
            </w:r>
          </w:p>
        </w:tc>
        <w:tc>
          <w:tcPr>
            <w:tcW w:w="1638" w:type="dxa"/>
            <w:noWrap/>
            <w:hideMark/>
          </w:tcPr>
          <w:p w:rsidR="00757988" w:rsidRPr="00757988" w:rsidRDefault="00757988" w:rsidP="0075798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000000"/>
                <w:lang w:eastAsia="en-AU"/>
              </w:rPr>
            </w:pPr>
          </w:p>
        </w:tc>
        <w:tc>
          <w:tcPr>
            <w:tcW w:w="1559" w:type="dxa"/>
            <w:noWrap/>
            <w:hideMark/>
          </w:tcPr>
          <w:p w:rsidR="00757988" w:rsidRPr="00757988" w:rsidRDefault="00757988" w:rsidP="0075798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1559" w:type="dxa"/>
            <w:noWrap/>
            <w:hideMark/>
          </w:tcPr>
          <w:p w:rsidR="00757988" w:rsidRPr="00757988" w:rsidRDefault="00757988" w:rsidP="0075798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1639" w:type="dxa"/>
            <w:noWrap/>
            <w:hideMark/>
          </w:tcPr>
          <w:p w:rsidR="00757988" w:rsidRPr="00757988" w:rsidRDefault="00757988" w:rsidP="0075798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r>
      <w:tr w:rsidR="00757988" w:rsidRPr="00757988" w:rsidTr="00106158">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015" w:type="dxa"/>
            <w:noWrap/>
            <w:hideMark/>
          </w:tcPr>
          <w:p w:rsidR="00757988" w:rsidRPr="00CD7FE0" w:rsidRDefault="00757988" w:rsidP="00757988">
            <w:pPr>
              <w:rPr>
                <w:rFonts w:ascii="Calibri" w:eastAsia="Times New Roman" w:hAnsi="Calibri" w:cs="Arial"/>
                <w:lang w:eastAsia="en-AU"/>
              </w:rPr>
            </w:pPr>
            <w:r w:rsidRPr="00CD7FE0">
              <w:rPr>
                <w:rFonts w:ascii="Calibri" w:eastAsia="Times New Roman" w:hAnsi="Calibri" w:cs="Arial"/>
                <w:lang w:eastAsia="en-AU"/>
              </w:rPr>
              <w:t>TV of AE</w:t>
            </w:r>
          </w:p>
        </w:tc>
        <w:tc>
          <w:tcPr>
            <w:tcW w:w="1764" w:type="dxa"/>
            <w:noWrap/>
            <w:hideMark/>
          </w:tcPr>
          <w:p w:rsidR="00757988" w:rsidRPr="00757988" w:rsidRDefault="00757988" w:rsidP="0075798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000000"/>
                <w:lang w:eastAsia="en-AU"/>
              </w:rPr>
            </w:pPr>
            <w:r w:rsidRPr="00757988">
              <w:rPr>
                <w:rFonts w:ascii="Calibri" w:eastAsia="Times New Roman" w:hAnsi="Calibri" w:cs="Arial"/>
                <w:color w:val="000000"/>
                <w:lang w:eastAsia="en-AU"/>
              </w:rPr>
              <w:t xml:space="preserve"> $     111,776.28 </w:t>
            </w:r>
          </w:p>
        </w:tc>
        <w:tc>
          <w:tcPr>
            <w:tcW w:w="1638" w:type="dxa"/>
            <w:noWrap/>
            <w:hideMark/>
          </w:tcPr>
          <w:p w:rsidR="00757988" w:rsidRPr="00757988" w:rsidRDefault="00757988" w:rsidP="0075798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000000"/>
                <w:lang w:eastAsia="en-AU"/>
              </w:rPr>
            </w:pPr>
          </w:p>
        </w:tc>
        <w:tc>
          <w:tcPr>
            <w:tcW w:w="1559" w:type="dxa"/>
            <w:noWrap/>
            <w:hideMark/>
          </w:tcPr>
          <w:p w:rsidR="00757988" w:rsidRPr="00757988" w:rsidRDefault="00757988" w:rsidP="0075798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AU"/>
              </w:rPr>
            </w:pPr>
          </w:p>
        </w:tc>
        <w:tc>
          <w:tcPr>
            <w:tcW w:w="1559" w:type="dxa"/>
            <w:noWrap/>
            <w:hideMark/>
          </w:tcPr>
          <w:p w:rsidR="00757988" w:rsidRPr="00757988" w:rsidRDefault="00757988" w:rsidP="0075798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AU"/>
              </w:rPr>
            </w:pPr>
          </w:p>
        </w:tc>
        <w:tc>
          <w:tcPr>
            <w:tcW w:w="1639" w:type="dxa"/>
            <w:noWrap/>
            <w:hideMark/>
          </w:tcPr>
          <w:p w:rsidR="00757988" w:rsidRPr="00757988" w:rsidRDefault="00757988" w:rsidP="0075798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AU"/>
              </w:rPr>
            </w:pPr>
          </w:p>
        </w:tc>
      </w:tr>
      <w:tr w:rsidR="00757988" w:rsidRPr="00757988" w:rsidTr="00106158">
        <w:trPr>
          <w:trHeight w:val="330"/>
        </w:trPr>
        <w:tc>
          <w:tcPr>
            <w:cnfStyle w:val="001000000000" w:firstRow="0" w:lastRow="0" w:firstColumn="1" w:lastColumn="0" w:oddVBand="0" w:evenVBand="0" w:oddHBand="0" w:evenHBand="0" w:firstRowFirstColumn="0" w:firstRowLastColumn="0" w:lastRowFirstColumn="0" w:lastRowLastColumn="0"/>
            <w:tcW w:w="2015" w:type="dxa"/>
            <w:noWrap/>
            <w:hideMark/>
          </w:tcPr>
          <w:p w:rsidR="00757988" w:rsidRPr="00CD7FE0" w:rsidRDefault="00757988" w:rsidP="00757988">
            <w:pPr>
              <w:rPr>
                <w:rFonts w:ascii="Calibri" w:eastAsia="Times New Roman" w:hAnsi="Calibri" w:cs="Arial"/>
                <w:lang w:eastAsia="en-AU"/>
              </w:rPr>
            </w:pPr>
            <w:r w:rsidRPr="00CD7FE0">
              <w:rPr>
                <w:rFonts w:ascii="Calibri" w:eastAsia="Times New Roman" w:hAnsi="Calibri" w:cs="Arial"/>
                <w:lang w:eastAsia="en-AU"/>
              </w:rPr>
              <w:t>Equity Value</w:t>
            </w:r>
          </w:p>
        </w:tc>
        <w:tc>
          <w:tcPr>
            <w:tcW w:w="1764" w:type="dxa"/>
            <w:noWrap/>
            <w:hideMark/>
          </w:tcPr>
          <w:p w:rsidR="00757988" w:rsidRPr="00757988" w:rsidRDefault="00757988" w:rsidP="0075798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000000"/>
                <w:lang w:eastAsia="en-AU"/>
              </w:rPr>
            </w:pPr>
            <w:r w:rsidRPr="00757988">
              <w:rPr>
                <w:rFonts w:ascii="Calibri" w:eastAsia="Times New Roman" w:hAnsi="Calibri" w:cs="Arial"/>
                <w:color w:val="000000"/>
                <w:lang w:eastAsia="en-AU"/>
              </w:rPr>
              <w:t xml:space="preserve"> $  1,792,950.63 </w:t>
            </w:r>
          </w:p>
        </w:tc>
        <w:tc>
          <w:tcPr>
            <w:tcW w:w="1638" w:type="dxa"/>
            <w:noWrap/>
            <w:hideMark/>
          </w:tcPr>
          <w:p w:rsidR="00757988" w:rsidRPr="00757988" w:rsidRDefault="00757988" w:rsidP="0075798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000000"/>
                <w:lang w:eastAsia="en-AU"/>
              </w:rPr>
            </w:pPr>
            <w:r w:rsidRPr="00757988">
              <w:rPr>
                <w:rFonts w:ascii="Calibri" w:eastAsia="Times New Roman" w:hAnsi="Calibri" w:cs="Arial"/>
                <w:color w:val="000000"/>
                <w:lang w:eastAsia="en-AU"/>
              </w:rPr>
              <w:t>('000)</w:t>
            </w:r>
          </w:p>
        </w:tc>
        <w:tc>
          <w:tcPr>
            <w:tcW w:w="1559" w:type="dxa"/>
            <w:noWrap/>
            <w:hideMark/>
          </w:tcPr>
          <w:p w:rsidR="00757988" w:rsidRPr="00757988" w:rsidRDefault="00757988" w:rsidP="0075798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000000"/>
                <w:lang w:eastAsia="en-AU"/>
              </w:rPr>
            </w:pPr>
          </w:p>
        </w:tc>
        <w:tc>
          <w:tcPr>
            <w:tcW w:w="1559" w:type="dxa"/>
            <w:noWrap/>
            <w:hideMark/>
          </w:tcPr>
          <w:p w:rsidR="00757988" w:rsidRPr="00757988" w:rsidRDefault="00757988" w:rsidP="0075798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1639" w:type="dxa"/>
            <w:noWrap/>
            <w:hideMark/>
          </w:tcPr>
          <w:p w:rsidR="00757988" w:rsidRPr="00757988" w:rsidRDefault="00757988" w:rsidP="0075798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r>
      <w:tr w:rsidR="00757988" w:rsidRPr="00757988" w:rsidTr="0010615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015" w:type="dxa"/>
            <w:noWrap/>
            <w:hideMark/>
          </w:tcPr>
          <w:p w:rsidR="00757988" w:rsidRPr="00CD7FE0" w:rsidRDefault="00757988" w:rsidP="00757988">
            <w:pPr>
              <w:rPr>
                <w:rFonts w:ascii="Calibri" w:eastAsia="Times New Roman" w:hAnsi="Calibri" w:cs="Arial"/>
                <w:lang w:eastAsia="en-AU"/>
              </w:rPr>
            </w:pPr>
            <w:r w:rsidRPr="00CD7FE0">
              <w:rPr>
                <w:rFonts w:ascii="Calibri" w:eastAsia="Times New Roman" w:hAnsi="Calibri" w:cs="Arial"/>
                <w:lang w:eastAsia="en-AU"/>
              </w:rPr>
              <w:t>Number of shares</w:t>
            </w:r>
          </w:p>
        </w:tc>
        <w:tc>
          <w:tcPr>
            <w:tcW w:w="1764" w:type="dxa"/>
            <w:noWrap/>
            <w:hideMark/>
          </w:tcPr>
          <w:p w:rsidR="00757988" w:rsidRPr="00757988" w:rsidRDefault="00757988" w:rsidP="0075798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000000"/>
                <w:lang w:eastAsia="en-AU"/>
              </w:rPr>
            </w:pPr>
            <w:r w:rsidRPr="00757988">
              <w:rPr>
                <w:rFonts w:ascii="Calibri" w:eastAsia="Times New Roman" w:hAnsi="Calibri" w:cs="Arial"/>
                <w:color w:val="000000"/>
                <w:lang w:eastAsia="en-AU"/>
              </w:rPr>
              <w:t>2,351,955,725</w:t>
            </w:r>
          </w:p>
        </w:tc>
        <w:tc>
          <w:tcPr>
            <w:tcW w:w="1638" w:type="dxa"/>
            <w:noWrap/>
            <w:hideMark/>
          </w:tcPr>
          <w:p w:rsidR="00757988" w:rsidRPr="00757988" w:rsidRDefault="00757988" w:rsidP="0075798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000000"/>
                <w:lang w:eastAsia="en-AU"/>
              </w:rPr>
            </w:pPr>
          </w:p>
        </w:tc>
        <w:tc>
          <w:tcPr>
            <w:tcW w:w="1559" w:type="dxa"/>
            <w:noWrap/>
            <w:hideMark/>
          </w:tcPr>
          <w:p w:rsidR="00757988" w:rsidRPr="00757988" w:rsidRDefault="00757988" w:rsidP="0075798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AU"/>
              </w:rPr>
            </w:pPr>
          </w:p>
        </w:tc>
        <w:tc>
          <w:tcPr>
            <w:tcW w:w="1559" w:type="dxa"/>
            <w:noWrap/>
            <w:hideMark/>
          </w:tcPr>
          <w:p w:rsidR="00757988" w:rsidRPr="00757988" w:rsidRDefault="00757988" w:rsidP="0075798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AU"/>
              </w:rPr>
            </w:pPr>
          </w:p>
        </w:tc>
        <w:tc>
          <w:tcPr>
            <w:tcW w:w="1639" w:type="dxa"/>
            <w:noWrap/>
            <w:hideMark/>
          </w:tcPr>
          <w:p w:rsidR="00757988" w:rsidRPr="00757988" w:rsidRDefault="00757988" w:rsidP="0075798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AU"/>
              </w:rPr>
            </w:pPr>
          </w:p>
        </w:tc>
      </w:tr>
      <w:tr w:rsidR="00757988" w:rsidRPr="00757988" w:rsidTr="00106158">
        <w:trPr>
          <w:trHeight w:val="300"/>
        </w:trPr>
        <w:tc>
          <w:tcPr>
            <w:cnfStyle w:val="001000000000" w:firstRow="0" w:lastRow="0" w:firstColumn="1" w:lastColumn="0" w:oddVBand="0" w:evenVBand="0" w:oddHBand="0" w:evenHBand="0" w:firstRowFirstColumn="0" w:firstRowLastColumn="0" w:lastRowFirstColumn="0" w:lastRowLastColumn="0"/>
            <w:tcW w:w="2015" w:type="dxa"/>
            <w:noWrap/>
            <w:hideMark/>
          </w:tcPr>
          <w:p w:rsidR="00757988" w:rsidRPr="00CD7FE0" w:rsidRDefault="00757988" w:rsidP="00757988">
            <w:pPr>
              <w:rPr>
                <w:rFonts w:ascii="Calibri" w:eastAsia="Times New Roman" w:hAnsi="Calibri" w:cs="Arial"/>
                <w:lang w:eastAsia="en-AU"/>
              </w:rPr>
            </w:pPr>
            <w:r w:rsidRPr="00CD7FE0">
              <w:rPr>
                <w:rFonts w:ascii="Calibri" w:eastAsia="Times New Roman" w:hAnsi="Calibri" w:cs="Arial"/>
                <w:lang w:eastAsia="en-AU"/>
              </w:rPr>
              <w:t>Estimated Value per share</w:t>
            </w:r>
          </w:p>
        </w:tc>
        <w:tc>
          <w:tcPr>
            <w:tcW w:w="1764" w:type="dxa"/>
            <w:noWrap/>
            <w:hideMark/>
          </w:tcPr>
          <w:p w:rsidR="00757988" w:rsidRPr="00757988" w:rsidRDefault="00757988" w:rsidP="0075798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color w:val="000000"/>
                <w:lang w:eastAsia="en-AU"/>
              </w:rPr>
            </w:pPr>
            <w:r w:rsidRPr="00757988">
              <w:rPr>
                <w:rFonts w:ascii="Calibri" w:eastAsia="Times New Roman" w:hAnsi="Calibri" w:cs="Arial"/>
                <w:b/>
                <w:bCs/>
                <w:color w:val="000000"/>
                <w:lang w:eastAsia="en-AU"/>
              </w:rPr>
              <w:t xml:space="preserve"> $                  0.76 </w:t>
            </w:r>
          </w:p>
        </w:tc>
        <w:tc>
          <w:tcPr>
            <w:tcW w:w="1638" w:type="dxa"/>
            <w:noWrap/>
            <w:hideMark/>
          </w:tcPr>
          <w:p w:rsidR="00757988" w:rsidRPr="00757988" w:rsidRDefault="00757988" w:rsidP="0075798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color w:val="000000"/>
                <w:lang w:eastAsia="en-AU"/>
              </w:rPr>
            </w:pPr>
          </w:p>
        </w:tc>
        <w:tc>
          <w:tcPr>
            <w:tcW w:w="1559" w:type="dxa"/>
            <w:noWrap/>
            <w:hideMark/>
          </w:tcPr>
          <w:p w:rsidR="00757988" w:rsidRPr="00757988" w:rsidRDefault="00757988" w:rsidP="0075798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1559" w:type="dxa"/>
            <w:noWrap/>
            <w:hideMark/>
          </w:tcPr>
          <w:p w:rsidR="00757988" w:rsidRPr="00757988" w:rsidRDefault="00757988" w:rsidP="0075798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1639" w:type="dxa"/>
            <w:noWrap/>
            <w:hideMark/>
          </w:tcPr>
          <w:p w:rsidR="00757988" w:rsidRPr="00757988" w:rsidRDefault="00757988" w:rsidP="0075798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r>
    </w:tbl>
    <w:p w:rsidR="00CD7FE0" w:rsidRPr="00106158" w:rsidRDefault="00CD7FE0" w:rsidP="00CD7FE0">
      <w:pPr>
        <w:spacing w:line="312" w:lineRule="auto"/>
        <w:rPr>
          <w:sz w:val="24"/>
        </w:rPr>
      </w:pPr>
      <w:r>
        <w:br/>
      </w:r>
      <w:r w:rsidRPr="00106158">
        <w:rPr>
          <w:sz w:val="24"/>
        </w:rPr>
        <w:t xml:space="preserve">The Abnormal Earnings valuation method determines the value of a company through the abnormal earnings that it is forecasted to generate in the future. Abnormal earnings are calculated by first determining the forecasted yearly required earnings and subtracting them away from the forecasted net profit for each year. The present value of these abnormal earnings over the next 5 years are summed and then added to the terminal value of the </w:t>
      </w:r>
      <w:r w:rsidRPr="00106158">
        <w:rPr>
          <w:sz w:val="24"/>
        </w:rPr>
        <w:lastRenderedPageBreak/>
        <w:t>abnormal earnings beyond the 5 year forecast to get an equity value. Dividing this figure by the number of shares gives an estimated value per share, which is $0.76 for Fairfax.</w:t>
      </w:r>
    </w:p>
    <w:p w:rsidR="002F7FD5" w:rsidRPr="005B6039" w:rsidRDefault="002F7FD5" w:rsidP="009851E7">
      <w:pPr>
        <w:pStyle w:val="3"/>
        <w:rPr>
          <w:sz w:val="28"/>
        </w:rPr>
      </w:pPr>
      <w:bookmarkStart w:id="9" w:name="_Toc420625246"/>
      <w:r w:rsidRPr="005B6039">
        <w:rPr>
          <w:sz w:val="28"/>
        </w:rPr>
        <w:t>Valuation parameter estimation</w:t>
      </w:r>
      <w:bookmarkEnd w:id="9"/>
    </w:p>
    <w:p w:rsidR="00CD29B4" w:rsidRPr="009851E7" w:rsidRDefault="00CD29B4" w:rsidP="009851E7">
      <w:pPr>
        <w:spacing w:line="360" w:lineRule="auto"/>
        <w:rPr>
          <w:sz w:val="24"/>
          <w:szCs w:val="24"/>
        </w:rPr>
      </w:pPr>
      <w:r w:rsidRPr="009851E7">
        <w:rPr>
          <w:sz w:val="24"/>
          <w:szCs w:val="24"/>
        </w:rPr>
        <w:t>In order to calculate the value of a company using these two valuation methods, the two parameters; Cost of equity and Terminal growth rate, must be estimated.</w:t>
      </w:r>
    </w:p>
    <w:p w:rsidR="00CD29B4" w:rsidRPr="009851E7" w:rsidRDefault="002F7FD5" w:rsidP="009851E7">
      <w:pPr>
        <w:spacing w:line="360" w:lineRule="auto"/>
        <w:rPr>
          <w:sz w:val="24"/>
          <w:szCs w:val="24"/>
        </w:rPr>
      </w:pPr>
      <w:r w:rsidRPr="009851E7">
        <w:rPr>
          <w:sz w:val="24"/>
          <w:szCs w:val="24"/>
        </w:rPr>
        <w:t>Cost of equity (</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e</m:t>
            </m:r>
          </m:sub>
        </m:sSub>
      </m:oMath>
      <w:r w:rsidRPr="009851E7">
        <w:rPr>
          <w:sz w:val="24"/>
          <w:szCs w:val="24"/>
        </w:rPr>
        <w:t>)</w:t>
      </w:r>
      <w:r w:rsidR="00CD29B4" w:rsidRPr="009851E7">
        <w:rPr>
          <w:sz w:val="24"/>
          <w:szCs w:val="24"/>
        </w:rPr>
        <w:t xml:space="preserve"> = 11% </w:t>
      </w:r>
    </w:p>
    <w:p w:rsidR="002F7FD5" w:rsidRPr="009851E7" w:rsidRDefault="00CD29B4" w:rsidP="009851E7">
      <w:pPr>
        <w:spacing w:line="360" w:lineRule="auto"/>
        <w:rPr>
          <w:sz w:val="24"/>
          <w:szCs w:val="24"/>
        </w:rPr>
      </w:pPr>
      <w:r w:rsidRPr="009851E7">
        <w:rPr>
          <w:sz w:val="24"/>
          <w:szCs w:val="24"/>
        </w:rPr>
        <w:t>The cost of equity estimation for Fairfax was taken directly from the FY2014 annual report as their calculated discount rate. This estimation is reasonable to be used as the company would have greater knowledge as to the value of its cost of equity than an outside source. Doing the CAPM calculation to determine the cost of equity gave a similar result to the company estimation.</w:t>
      </w:r>
    </w:p>
    <w:p w:rsidR="002F7FD5" w:rsidRPr="009851E7" w:rsidRDefault="00CD29B4" w:rsidP="009851E7">
      <w:pPr>
        <w:spacing w:line="360" w:lineRule="auto"/>
        <w:rPr>
          <w:sz w:val="24"/>
          <w:szCs w:val="24"/>
        </w:rPr>
      </w:pPr>
      <w:r w:rsidRPr="009851E7">
        <w:rPr>
          <w:sz w:val="24"/>
          <w:szCs w:val="24"/>
        </w:rPr>
        <w:t>Terminal growth rate (g) = 1.225%</w:t>
      </w:r>
    </w:p>
    <w:p w:rsidR="00CD29B4" w:rsidRPr="009851E7" w:rsidRDefault="00CD29B4" w:rsidP="009851E7">
      <w:pPr>
        <w:spacing w:line="360" w:lineRule="auto"/>
        <w:rPr>
          <w:sz w:val="24"/>
          <w:szCs w:val="24"/>
        </w:rPr>
      </w:pPr>
      <w:r w:rsidRPr="009851E7">
        <w:rPr>
          <w:sz w:val="24"/>
          <w:szCs w:val="24"/>
        </w:rPr>
        <w:t>The terminal growth rate estimation for Fairfax was also taken directly from the FY2014 annual report. Fairfax determined that the terminal growth rate for its print business was 0% and 3.5% for its digital business. Using a revenue mix calculation, with print resulting in 65% of revenues and digital being 35% resulted in an overall terminal growth rate of 1.225%</w:t>
      </w:r>
    </w:p>
    <w:p w:rsidR="00106158" w:rsidRDefault="007D4E41" w:rsidP="009851E7">
      <w:pPr>
        <w:spacing w:line="360" w:lineRule="auto"/>
        <w:rPr>
          <w:sz w:val="24"/>
          <w:szCs w:val="24"/>
        </w:rPr>
      </w:pPr>
      <m:oMath>
        <m:sSub>
          <m:sSubPr>
            <m:ctrlPr>
              <w:rPr>
                <w:rFonts w:ascii="Cambria Math" w:hAnsi="Cambria Math"/>
                <w:i/>
                <w:sz w:val="24"/>
                <w:szCs w:val="24"/>
              </w:rPr>
            </m:ctrlPr>
          </m:sSubPr>
          <m:e>
            <m:r>
              <w:rPr>
                <w:rFonts w:ascii="Cambria Math" w:hAnsi="Cambria Math"/>
                <w:sz w:val="24"/>
                <w:szCs w:val="24"/>
              </w:rPr>
              <m:t>TV</m:t>
            </m:r>
          </m:e>
          <m:sub>
            <m:r>
              <w:rPr>
                <w:rFonts w:ascii="Cambria Math" w:hAnsi="Cambria Math"/>
                <w:sz w:val="24"/>
                <w:szCs w:val="24"/>
              </w:rPr>
              <m:t>g</m:t>
            </m:r>
          </m:sub>
        </m:sSub>
        <m:r>
          <w:rPr>
            <w:rFonts w:ascii="Cambria Math" w:hAnsi="Cambria Math"/>
            <w:sz w:val="24"/>
            <w:szCs w:val="24"/>
          </w:rPr>
          <m:t>=(0.65×0)+(0.35×0.035)</m:t>
        </m:r>
      </m:oMath>
      <w:r w:rsidR="00CD29B4" w:rsidRPr="009851E7">
        <w:rPr>
          <w:sz w:val="24"/>
          <w:szCs w:val="24"/>
        </w:rPr>
        <w:t xml:space="preserve"> </w:t>
      </w:r>
      <w:r w:rsidR="009851E7" w:rsidRPr="009851E7">
        <w:rPr>
          <w:sz w:val="24"/>
          <w:szCs w:val="24"/>
        </w:rPr>
        <w:tab/>
      </w:r>
      <w:r w:rsidR="009851E7" w:rsidRPr="009851E7">
        <w:rPr>
          <w:sz w:val="24"/>
          <w:szCs w:val="24"/>
        </w:rPr>
        <w:tab/>
      </w:r>
      <w:r w:rsidR="009851E7" w:rsidRPr="009851E7">
        <w:rPr>
          <w:sz w:val="24"/>
          <w:szCs w:val="24"/>
        </w:rPr>
        <w:tab/>
      </w:r>
    </w:p>
    <w:p w:rsidR="00CA1414" w:rsidRPr="00106158" w:rsidRDefault="007D4E41" w:rsidP="009851E7">
      <w:pPr>
        <w:spacing w:line="360" w:lineRule="auto"/>
        <w:rPr>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TV</m:t>
              </m:r>
            </m:e>
            <m:sub>
              <m:r>
                <w:rPr>
                  <w:rFonts w:ascii="Cambria Math" w:hAnsi="Cambria Math"/>
                  <w:sz w:val="24"/>
                  <w:szCs w:val="24"/>
                </w:rPr>
                <m:t>g</m:t>
              </m:r>
            </m:sub>
          </m:sSub>
          <m:r>
            <w:rPr>
              <w:rFonts w:ascii="Cambria Math" w:hAnsi="Cambria Math"/>
              <w:sz w:val="24"/>
              <w:szCs w:val="24"/>
            </w:rPr>
            <m:t>=0.01225</m:t>
          </m:r>
        </m:oMath>
      </m:oMathPara>
    </w:p>
    <w:p w:rsidR="002F7FD5" w:rsidRDefault="00106158" w:rsidP="00106158">
      <w:pPr>
        <w:pStyle w:val="3"/>
      </w:pPr>
      <w:bookmarkStart w:id="10" w:name="_Toc420625247"/>
      <w:r>
        <w:br/>
      </w:r>
      <w:r w:rsidR="002F7FD5" w:rsidRPr="005B6039">
        <w:rPr>
          <w:sz w:val="28"/>
        </w:rPr>
        <w:t>Sensitivity Analysis</w:t>
      </w:r>
      <w:bookmarkEnd w:id="10"/>
    </w:p>
    <w:p w:rsidR="009851E7" w:rsidRDefault="009851E7" w:rsidP="00106158">
      <w:pPr>
        <w:spacing w:line="360" w:lineRule="auto"/>
        <w:rPr>
          <w:sz w:val="24"/>
        </w:rPr>
      </w:pPr>
      <w:r w:rsidRPr="009851E7">
        <w:rPr>
          <w:sz w:val="24"/>
        </w:rPr>
        <w:t>A sensitivity analysis is used to understand what the estimated value of the share price would be under slightly varying economic conditions. These different economic conditions are determined by a change in the cost of equity and in the terminal growth rate. In order to best examine the sensitivity of the share value estimation components (in large portion due to the Terminal Value)</w:t>
      </w:r>
      <w:proofErr w:type="gramStart"/>
      <w:r w:rsidRPr="009851E7">
        <w:rPr>
          <w:sz w:val="24"/>
        </w:rPr>
        <w:t>,</w:t>
      </w:r>
      <w:proofErr w:type="gramEnd"/>
      <w:r w:rsidRPr="009851E7">
        <w:rPr>
          <w:sz w:val="24"/>
        </w:rPr>
        <w:t xml:space="preserve"> I have presented six distinct varying conditions. Downside and upside of just terminal growth rate, downside and upside of just cost of equity and the downside and upside of both rates simulta</w:t>
      </w:r>
      <w:r>
        <w:rPr>
          <w:sz w:val="24"/>
        </w:rPr>
        <w:t>neously. This can be seen in the sensitivity analysis</w:t>
      </w:r>
      <w:r w:rsidRPr="009851E7">
        <w:rPr>
          <w:sz w:val="24"/>
        </w:rPr>
        <w:t xml:space="preserve"> table</w:t>
      </w:r>
      <w:r>
        <w:rPr>
          <w:sz w:val="24"/>
        </w:rPr>
        <w:t>s on the follow page.</w:t>
      </w:r>
    </w:p>
    <w:p w:rsidR="009851E7" w:rsidRDefault="009851E7" w:rsidP="009851E7"/>
    <w:p w:rsidR="009851E7" w:rsidRDefault="009851E7" w:rsidP="009851E7"/>
    <w:tbl>
      <w:tblPr>
        <w:tblpPr w:leftFromText="180" w:rightFromText="180" w:vertAnchor="page" w:horzAnchor="margin" w:tblpXSpec="center" w:tblpY="1525"/>
        <w:tblW w:w="9569" w:type="dxa"/>
        <w:tblLayout w:type="fixed"/>
        <w:tblLook w:val="04A0" w:firstRow="1" w:lastRow="0" w:firstColumn="1" w:lastColumn="0" w:noHBand="0" w:noVBand="1"/>
      </w:tblPr>
      <w:tblGrid>
        <w:gridCol w:w="2643"/>
        <w:gridCol w:w="1830"/>
        <w:gridCol w:w="463"/>
        <w:gridCol w:w="1235"/>
        <w:gridCol w:w="1082"/>
        <w:gridCol w:w="617"/>
        <w:gridCol w:w="1699"/>
      </w:tblGrid>
      <w:tr w:rsidR="00106158" w:rsidRPr="006F2BCD" w:rsidTr="00106158">
        <w:trPr>
          <w:trHeight w:val="410"/>
        </w:trPr>
        <w:tc>
          <w:tcPr>
            <w:tcW w:w="2643" w:type="dxa"/>
            <w:tcBorders>
              <w:top w:val="single" w:sz="4" w:space="0" w:color="auto"/>
              <w:left w:val="single" w:sz="4" w:space="0" w:color="auto"/>
              <w:bottom w:val="single" w:sz="4" w:space="0" w:color="auto"/>
              <w:right w:val="single" w:sz="4" w:space="0" w:color="auto"/>
            </w:tcBorders>
            <w:shd w:val="clear" w:color="5B9BD5" w:fill="5B9BD5"/>
            <w:noWrap/>
            <w:vAlign w:val="center"/>
            <w:hideMark/>
          </w:tcPr>
          <w:p w:rsidR="00106158" w:rsidRPr="006F2BCD" w:rsidRDefault="00106158" w:rsidP="00106158">
            <w:pPr>
              <w:spacing w:after="0" w:line="240" w:lineRule="auto"/>
              <w:jc w:val="center"/>
              <w:rPr>
                <w:rFonts w:ascii="Calibri" w:eastAsia="Times New Roman" w:hAnsi="Calibri" w:cs="Arial"/>
                <w:b/>
                <w:bCs/>
                <w:color w:val="FFFFFF"/>
                <w:sz w:val="24"/>
                <w:szCs w:val="24"/>
                <w:lang w:eastAsia="en-AU"/>
              </w:rPr>
            </w:pPr>
            <w:r w:rsidRPr="006F2BCD">
              <w:rPr>
                <w:rFonts w:ascii="Calibri" w:eastAsia="Times New Roman" w:hAnsi="Calibri" w:cs="Arial"/>
                <w:b/>
                <w:bCs/>
                <w:color w:val="FFFFFF"/>
                <w:sz w:val="24"/>
                <w:szCs w:val="24"/>
                <w:lang w:eastAsia="en-AU"/>
              </w:rPr>
              <w:t>Sensitivity Analysis</w:t>
            </w:r>
          </w:p>
        </w:tc>
        <w:tc>
          <w:tcPr>
            <w:tcW w:w="2293" w:type="dxa"/>
            <w:gridSpan w:val="2"/>
            <w:tcBorders>
              <w:top w:val="single" w:sz="4" w:space="0" w:color="auto"/>
              <w:left w:val="single" w:sz="4" w:space="0" w:color="auto"/>
              <w:bottom w:val="single" w:sz="4" w:space="0" w:color="auto"/>
              <w:right w:val="single" w:sz="4" w:space="0" w:color="auto"/>
            </w:tcBorders>
            <w:shd w:val="clear" w:color="5B9BD5" w:fill="5B9BD5"/>
            <w:noWrap/>
            <w:vAlign w:val="center"/>
            <w:hideMark/>
          </w:tcPr>
          <w:p w:rsidR="00106158" w:rsidRPr="006F2BCD" w:rsidRDefault="00106158" w:rsidP="00106158">
            <w:pPr>
              <w:spacing w:after="0" w:line="240" w:lineRule="auto"/>
              <w:jc w:val="center"/>
              <w:rPr>
                <w:rFonts w:ascii="Calibri" w:eastAsia="Times New Roman" w:hAnsi="Calibri" w:cs="Arial"/>
                <w:b/>
                <w:bCs/>
                <w:color w:val="FFFFFF"/>
                <w:sz w:val="24"/>
                <w:szCs w:val="24"/>
                <w:lang w:eastAsia="en-AU"/>
              </w:rPr>
            </w:pPr>
            <w:r w:rsidRPr="006F2BCD">
              <w:rPr>
                <w:rFonts w:ascii="Calibri" w:eastAsia="Times New Roman" w:hAnsi="Calibri" w:cs="Arial"/>
                <w:b/>
                <w:bCs/>
                <w:color w:val="FFFFFF"/>
                <w:sz w:val="24"/>
                <w:szCs w:val="24"/>
                <w:lang w:eastAsia="en-AU"/>
              </w:rPr>
              <w:t>Market Price</w:t>
            </w:r>
          </w:p>
        </w:tc>
        <w:tc>
          <w:tcPr>
            <w:tcW w:w="2317" w:type="dxa"/>
            <w:gridSpan w:val="2"/>
            <w:tcBorders>
              <w:top w:val="single" w:sz="4" w:space="0" w:color="auto"/>
              <w:left w:val="single" w:sz="4" w:space="0" w:color="auto"/>
              <w:bottom w:val="single" w:sz="4" w:space="0" w:color="auto"/>
              <w:right w:val="single" w:sz="4" w:space="0" w:color="auto"/>
            </w:tcBorders>
            <w:shd w:val="clear" w:color="5B9BD5" w:fill="5B9BD5"/>
            <w:noWrap/>
            <w:vAlign w:val="center"/>
            <w:hideMark/>
          </w:tcPr>
          <w:p w:rsidR="00106158" w:rsidRPr="006F2BCD" w:rsidRDefault="00106158" w:rsidP="00106158">
            <w:pPr>
              <w:spacing w:after="0" w:line="240" w:lineRule="auto"/>
              <w:jc w:val="center"/>
              <w:rPr>
                <w:rFonts w:ascii="Calibri" w:eastAsia="Times New Roman" w:hAnsi="Calibri" w:cs="Arial"/>
                <w:b/>
                <w:bCs/>
                <w:color w:val="FFFFFF"/>
                <w:sz w:val="24"/>
                <w:szCs w:val="24"/>
                <w:lang w:eastAsia="en-AU"/>
              </w:rPr>
            </w:pPr>
            <w:r w:rsidRPr="006F2BCD">
              <w:rPr>
                <w:rFonts w:ascii="Calibri" w:eastAsia="Times New Roman" w:hAnsi="Calibri" w:cs="Arial"/>
                <w:b/>
                <w:bCs/>
                <w:color w:val="FFFFFF"/>
                <w:sz w:val="24"/>
                <w:szCs w:val="24"/>
                <w:lang w:eastAsia="en-AU"/>
              </w:rPr>
              <w:t>Downside</w:t>
            </w:r>
          </w:p>
        </w:tc>
        <w:tc>
          <w:tcPr>
            <w:tcW w:w="2316" w:type="dxa"/>
            <w:gridSpan w:val="2"/>
            <w:tcBorders>
              <w:top w:val="single" w:sz="4" w:space="0" w:color="auto"/>
              <w:left w:val="single" w:sz="4" w:space="0" w:color="auto"/>
              <w:bottom w:val="single" w:sz="4" w:space="0" w:color="auto"/>
              <w:right w:val="single" w:sz="4" w:space="0" w:color="auto"/>
            </w:tcBorders>
            <w:shd w:val="clear" w:color="5B9BD5" w:fill="5B9BD5"/>
            <w:noWrap/>
            <w:vAlign w:val="center"/>
            <w:hideMark/>
          </w:tcPr>
          <w:p w:rsidR="00106158" w:rsidRPr="006F2BCD" w:rsidRDefault="00106158" w:rsidP="00106158">
            <w:pPr>
              <w:spacing w:after="0" w:line="240" w:lineRule="auto"/>
              <w:jc w:val="center"/>
              <w:rPr>
                <w:rFonts w:ascii="Calibri" w:eastAsia="Times New Roman" w:hAnsi="Calibri" w:cs="Arial"/>
                <w:b/>
                <w:bCs/>
                <w:color w:val="FFFFFF"/>
                <w:sz w:val="24"/>
                <w:szCs w:val="24"/>
                <w:lang w:eastAsia="en-AU"/>
              </w:rPr>
            </w:pPr>
            <w:r w:rsidRPr="006F2BCD">
              <w:rPr>
                <w:rFonts w:ascii="Calibri" w:eastAsia="Times New Roman" w:hAnsi="Calibri" w:cs="Arial"/>
                <w:b/>
                <w:bCs/>
                <w:color w:val="FFFFFF"/>
                <w:sz w:val="24"/>
                <w:szCs w:val="24"/>
                <w:lang w:eastAsia="en-AU"/>
              </w:rPr>
              <w:t>Upside</w:t>
            </w:r>
          </w:p>
        </w:tc>
      </w:tr>
      <w:tr w:rsidR="00106158" w:rsidRPr="006F2BCD" w:rsidTr="00106158">
        <w:trPr>
          <w:trHeight w:val="248"/>
        </w:trPr>
        <w:tc>
          <w:tcPr>
            <w:tcW w:w="2643" w:type="dxa"/>
            <w:tcBorders>
              <w:top w:val="single" w:sz="4" w:space="0" w:color="auto"/>
              <w:left w:val="single" w:sz="4" w:space="0" w:color="auto"/>
              <w:bottom w:val="single" w:sz="4" w:space="0" w:color="auto"/>
              <w:right w:val="single" w:sz="4" w:space="0" w:color="auto"/>
            </w:tcBorders>
            <w:shd w:val="clear" w:color="5B9BD5" w:fill="5B9BD5"/>
            <w:noWrap/>
            <w:vAlign w:val="center"/>
            <w:hideMark/>
          </w:tcPr>
          <w:p w:rsidR="00106158" w:rsidRPr="006F2BCD" w:rsidRDefault="00106158" w:rsidP="00106158">
            <w:pPr>
              <w:spacing w:after="0" w:line="240" w:lineRule="auto"/>
              <w:rPr>
                <w:rFonts w:ascii="Calibri" w:eastAsia="Times New Roman" w:hAnsi="Calibri" w:cs="Arial"/>
                <w:b/>
                <w:bCs/>
                <w:color w:val="FFFFFF"/>
                <w:sz w:val="24"/>
                <w:szCs w:val="24"/>
                <w:lang w:eastAsia="en-AU"/>
              </w:rPr>
            </w:pPr>
            <w:r w:rsidRPr="006F2BCD">
              <w:rPr>
                <w:rFonts w:ascii="Calibri" w:eastAsia="Times New Roman" w:hAnsi="Calibri" w:cs="Arial"/>
                <w:b/>
                <w:bCs/>
                <w:color w:val="FFFFFF"/>
                <w:sz w:val="24"/>
                <w:szCs w:val="24"/>
                <w:lang w:eastAsia="en-AU"/>
              </w:rPr>
              <w:t>Terminal Growth Rate</w:t>
            </w:r>
          </w:p>
        </w:tc>
        <w:tc>
          <w:tcPr>
            <w:tcW w:w="2293" w:type="dxa"/>
            <w:gridSpan w:val="2"/>
            <w:tcBorders>
              <w:top w:val="single" w:sz="4" w:space="0" w:color="auto"/>
              <w:left w:val="single" w:sz="4" w:space="0" w:color="auto"/>
              <w:bottom w:val="single" w:sz="4" w:space="0" w:color="auto"/>
              <w:right w:val="single" w:sz="4" w:space="0" w:color="auto"/>
            </w:tcBorders>
            <w:shd w:val="clear" w:color="DDEBF7" w:fill="DDEBF7"/>
            <w:noWrap/>
            <w:vAlign w:val="bottom"/>
            <w:hideMark/>
          </w:tcPr>
          <w:p w:rsidR="00106158" w:rsidRPr="006F2BCD" w:rsidRDefault="00106158" w:rsidP="00106158">
            <w:pPr>
              <w:spacing w:after="0" w:line="240" w:lineRule="auto"/>
              <w:jc w:val="right"/>
              <w:rPr>
                <w:rFonts w:ascii="Calibri" w:eastAsia="Times New Roman" w:hAnsi="Calibri" w:cs="Arial"/>
                <w:color w:val="000000"/>
                <w:sz w:val="24"/>
                <w:szCs w:val="24"/>
                <w:lang w:eastAsia="en-AU"/>
              </w:rPr>
            </w:pPr>
            <w:r w:rsidRPr="006F2BCD">
              <w:rPr>
                <w:rFonts w:ascii="Calibri" w:eastAsia="Times New Roman" w:hAnsi="Calibri" w:cs="Arial"/>
                <w:color w:val="000000"/>
                <w:sz w:val="24"/>
                <w:szCs w:val="24"/>
                <w:lang w:eastAsia="en-AU"/>
              </w:rPr>
              <w:t>1.225%</w:t>
            </w:r>
          </w:p>
        </w:tc>
        <w:tc>
          <w:tcPr>
            <w:tcW w:w="2317" w:type="dxa"/>
            <w:gridSpan w:val="2"/>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106158" w:rsidRPr="006F2BCD" w:rsidRDefault="00106158" w:rsidP="00106158">
            <w:pPr>
              <w:spacing w:after="0" w:line="240" w:lineRule="auto"/>
              <w:jc w:val="right"/>
              <w:rPr>
                <w:rFonts w:ascii="Calibri" w:eastAsia="Times New Roman" w:hAnsi="Calibri" w:cs="Arial"/>
                <w:color w:val="000000"/>
                <w:sz w:val="24"/>
                <w:szCs w:val="24"/>
                <w:lang w:eastAsia="en-AU"/>
              </w:rPr>
            </w:pPr>
            <w:r w:rsidRPr="006F2BCD">
              <w:rPr>
                <w:rFonts w:ascii="Calibri" w:eastAsia="Times New Roman" w:hAnsi="Calibri" w:cs="Arial"/>
                <w:color w:val="000000"/>
                <w:sz w:val="24"/>
                <w:szCs w:val="24"/>
                <w:lang w:eastAsia="en-AU"/>
              </w:rPr>
              <w:t>1%</w:t>
            </w:r>
          </w:p>
        </w:tc>
        <w:tc>
          <w:tcPr>
            <w:tcW w:w="2316" w:type="dxa"/>
            <w:gridSpan w:val="2"/>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106158" w:rsidRPr="006F2BCD" w:rsidRDefault="00106158" w:rsidP="00106158">
            <w:pPr>
              <w:spacing w:after="0" w:line="240" w:lineRule="auto"/>
              <w:jc w:val="right"/>
              <w:rPr>
                <w:rFonts w:ascii="Calibri" w:eastAsia="Times New Roman" w:hAnsi="Calibri" w:cs="Arial"/>
                <w:color w:val="000000"/>
                <w:sz w:val="24"/>
                <w:szCs w:val="24"/>
                <w:lang w:eastAsia="en-AU"/>
              </w:rPr>
            </w:pPr>
            <w:r w:rsidRPr="006F2BCD">
              <w:rPr>
                <w:rFonts w:ascii="Calibri" w:eastAsia="Times New Roman" w:hAnsi="Calibri" w:cs="Arial"/>
                <w:color w:val="000000"/>
                <w:sz w:val="24"/>
                <w:szCs w:val="24"/>
                <w:lang w:eastAsia="en-AU"/>
              </w:rPr>
              <w:t>1.5%</w:t>
            </w:r>
          </w:p>
        </w:tc>
      </w:tr>
      <w:tr w:rsidR="00106158" w:rsidRPr="006F2BCD" w:rsidTr="00106158">
        <w:trPr>
          <w:trHeight w:val="248"/>
        </w:trPr>
        <w:tc>
          <w:tcPr>
            <w:tcW w:w="2643" w:type="dxa"/>
            <w:tcBorders>
              <w:top w:val="single" w:sz="4" w:space="0" w:color="auto"/>
              <w:left w:val="single" w:sz="4" w:space="0" w:color="auto"/>
              <w:bottom w:val="single" w:sz="4" w:space="0" w:color="auto"/>
              <w:right w:val="single" w:sz="4" w:space="0" w:color="auto"/>
            </w:tcBorders>
            <w:shd w:val="clear" w:color="5B9BD5" w:fill="5B9BD5"/>
            <w:vAlign w:val="center"/>
            <w:hideMark/>
          </w:tcPr>
          <w:p w:rsidR="00106158" w:rsidRPr="006F2BCD" w:rsidRDefault="00106158" w:rsidP="00106158">
            <w:pPr>
              <w:spacing w:after="0" w:line="240" w:lineRule="auto"/>
              <w:rPr>
                <w:rFonts w:ascii="Calibri" w:eastAsia="Times New Roman" w:hAnsi="Calibri" w:cs="Arial"/>
                <w:b/>
                <w:bCs/>
                <w:color w:val="FFFFFF"/>
                <w:sz w:val="24"/>
                <w:szCs w:val="24"/>
                <w:lang w:eastAsia="en-AU"/>
              </w:rPr>
            </w:pPr>
            <w:r w:rsidRPr="006F2BCD">
              <w:rPr>
                <w:rFonts w:ascii="Calibri" w:eastAsia="Times New Roman" w:hAnsi="Calibri" w:cs="Arial"/>
                <w:b/>
                <w:bCs/>
                <w:color w:val="FFFFFF"/>
                <w:sz w:val="24"/>
                <w:szCs w:val="24"/>
                <w:lang w:eastAsia="en-AU"/>
              </w:rPr>
              <w:t>Cost of equity</w:t>
            </w:r>
          </w:p>
        </w:tc>
        <w:tc>
          <w:tcPr>
            <w:tcW w:w="2293" w:type="dxa"/>
            <w:gridSpan w:val="2"/>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106158" w:rsidRPr="006F2BCD" w:rsidRDefault="00106158" w:rsidP="00106158">
            <w:pPr>
              <w:spacing w:after="0" w:line="240" w:lineRule="auto"/>
              <w:jc w:val="right"/>
              <w:rPr>
                <w:rFonts w:ascii="Calibri" w:eastAsia="Times New Roman" w:hAnsi="Calibri" w:cs="Arial"/>
                <w:color w:val="000000"/>
                <w:sz w:val="24"/>
                <w:szCs w:val="24"/>
                <w:lang w:eastAsia="en-AU"/>
              </w:rPr>
            </w:pPr>
            <w:r w:rsidRPr="006F2BCD">
              <w:rPr>
                <w:rFonts w:ascii="Calibri" w:eastAsia="Times New Roman" w:hAnsi="Calibri" w:cs="Arial"/>
                <w:color w:val="000000"/>
                <w:sz w:val="24"/>
                <w:szCs w:val="24"/>
                <w:lang w:eastAsia="en-AU"/>
              </w:rPr>
              <w:t>11%</w:t>
            </w:r>
          </w:p>
        </w:tc>
        <w:tc>
          <w:tcPr>
            <w:tcW w:w="2317" w:type="dxa"/>
            <w:gridSpan w:val="2"/>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106158" w:rsidRPr="006F2BCD" w:rsidRDefault="00106158" w:rsidP="00106158">
            <w:pPr>
              <w:spacing w:after="0" w:line="240" w:lineRule="auto"/>
              <w:jc w:val="right"/>
              <w:rPr>
                <w:rFonts w:ascii="Calibri" w:eastAsia="Times New Roman" w:hAnsi="Calibri" w:cs="Arial"/>
                <w:color w:val="000000"/>
                <w:sz w:val="24"/>
                <w:szCs w:val="24"/>
                <w:lang w:eastAsia="en-AU"/>
              </w:rPr>
            </w:pPr>
            <w:r w:rsidRPr="006F2BCD">
              <w:rPr>
                <w:rFonts w:ascii="Calibri" w:eastAsia="Times New Roman" w:hAnsi="Calibri" w:cs="Arial"/>
                <w:color w:val="000000"/>
                <w:sz w:val="24"/>
                <w:szCs w:val="24"/>
                <w:lang w:eastAsia="en-AU"/>
              </w:rPr>
              <w:t>11%</w:t>
            </w:r>
          </w:p>
        </w:tc>
        <w:tc>
          <w:tcPr>
            <w:tcW w:w="2316" w:type="dxa"/>
            <w:gridSpan w:val="2"/>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106158" w:rsidRPr="006F2BCD" w:rsidRDefault="00106158" w:rsidP="00106158">
            <w:pPr>
              <w:spacing w:after="0" w:line="240" w:lineRule="auto"/>
              <w:jc w:val="right"/>
              <w:rPr>
                <w:rFonts w:ascii="Calibri" w:eastAsia="Times New Roman" w:hAnsi="Calibri" w:cs="Arial"/>
                <w:color w:val="000000"/>
                <w:sz w:val="24"/>
                <w:szCs w:val="24"/>
                <w:lang w:eastAsia="en-AU"/>
              </w:rPr>
            </w:pPr>
            <w:r w:rsidRPr="006F2BCD">
              <w:rPr>
                <w:rFonts w:ascii="Calibri" w:eastAsia="Times New Roman" w:hAnsi="Calibri" w:cs="Arial"/>
                <w:color w:val="000000"/>
                <w:sz w:val="24"/>
                <w:szCs w:val="24"/>
                <w:lang w:eastAsia="en-AU"/>
              </w:rPr>
              <w:t>11%</w:t>
            </w:r>
          </w:p>
        </w:tc>
      </w:tr>
      <w:tr w:rsidR="00106158" w:rsidRPr="006F2BCD" w:rsidTr="00106158">
        <w:trPr>
          <w:trHeight w:val="248"/>
        </w:trPr>
        <w:tc>
          <w:tcPr>
            <w:tcW w:w="2643" w:type="dxa"/>
            <w:tcBorders>
              <w:top w:val="single" w:sz="4" w:space="0" w:color="auto"/>
              <w:left w:val="single" w:sz="4" w:space="0" w:color="auto"/>
              <w:bottom w:val="single" w:sz="4" w:space="0" w:color="auto"/>
              <w:right w:val="single" w:sz="4" w:space="0" w:color="auto"/>
            </w:tcBorders>
            <w:shd w:val="clear" w:color="5B9BD5" w:fill="5B9BD5"/>
            <w:vAlign w:val="center"/>
            <w:hideMark/>
          </w:tcPr>
          <w:p w:rsidR="00106158" w:rsidRPr="006F2BCD" w:rsidRDefault="00106158" w:rsidP="00106158">
            <w:pPr>
              <w:spacing w:after="0" w:line="240" w:lineRule="auto"/>
              <w:rPr>
                <w:rFonts w:ascii="Calibri" w:eastAsia="Times New Roman" w:hAnsi="Calibri" w:cs="Arial"/>
                <w:b/>
                <w:bCs/>
                <w:color w:val="FFFFFF"/>
                <w:sz w:val="24"/>
                <w:szCs w:val="24"/>
                <w:lang w:eastAsia="en-AU"/>
              </w:rPr>
            </w:pPr>
            <w:r w:rsidRPr="006F2BCD">
              <w:rPr>
                <w:rFonts w:ascii="Calibri" w:eastAsia="Times New Roman" w:hAnsi="Calibri" w:cs="Arial"/>
                <w:b/>
                <w:bCs/>
                <w:color w:val="FFFFFF"/>
                <w:sz w:val="24"/>
                <w:szCs w:val="24"/>
                <w:lang w:eastAsia="en-AU"/>
              </w:rPr>
              <w:t>Sum of PV of FCFs</w:t>
            </w:r>
          </w:p>
        </w:tc>
        <w:tc>
          <w:tcPr>
            <w:tcW w:w="2293" w:type="dxa"/>
            <w:gridSpan w:val="2"/>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106158" w:rsidRPr="006F2BCD" w:rsidRDefault="00106158" w:rsidP="00106158">
            <w:pPr>
              <w:spacing w:after="0" w:line="240" w:lineRule="auto"/>
              <w:jc w:val="right"/>
              <w:rPr>
                <w:rFonts w:ascii="Calibri" w:eastAsia="Times New Roman" w:hAnsi="Calibri" w:cs="Arial"/>
                <w:color w:val="000000"/>
                <w:sz w:val="24"/>
                <w:szCs w:val="24"/>
                <w:lang w:eastAsia="en-AU"/>
              </w:rPr>
            </w:pPr>
            <w:r w:rsidRPr="006F2BCD">
              <w:rPr>
                <w:rFonts w:ascii="Calibri" w:eastAsia="Times New Roman" w:hAnsi="Calibri" w:cs="Arial"/>
                <w:color w:val="000000"/>
                <w:sz w:val="24"/>
                <w:szCs w:val="24"/>
                <w:lang w:eastAsia="en-AU"/>
              </w:rPr>
              <w:t xml:space="preserve"> $     531,775 </w:t>
            </w:r>
          </w:p>
        </w:tc>
        <w:tc>
          <w:tcPr>
            <w:tcW w:w="2317" w:type="dxa"/>
            <w:gridSpan w:val="2"/>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106158" w:rsidRPr="006F2BCD" w:rsidRDefault="00106158" w:rsidP="00106158">
            <w:pPr>
              <w:spacing w:after="0" w:line="240" w:lineRule="auto"/>
              <w:jc w:val="right"/>
              <w:rPr>
                <w:rFonts w:ascii="Calibri" w:eastAsia="Times New Roman" w:hAnsi="Calibri" w:cs="Arial"/>
                <w:color w:val="000000"/>
                <w:sz w:val="24"/>
                <w:szCs w:val="24"/>
                <w:lang w:eastAsia="en-AU"/>
              </w:rPr>
            </w:pPr>
            <w:r w:rsidRPr="006F2BCD">
              <w:rPr>
                <w:rFonts w:ascii="Calibri" w:eastAsia="Times New Roman" w:hAnsi="Calibri" w:cs="Arial"/>
                <w:color w:val="000000"/>
                <w:sz w:val="24"/>
                <w:szCs w:val="24"/>
                <w:lang w:eastAsia="en-AU"/>
              </w:rPr>
              <w:t xml:space="preserve"> $    531,775 </w:t>
            </w:r>
          </w:p>
        </w:tc>
        <w:tc>
          <w:tcPr>
            <w:tcW w:w="2316" w:type="dxa"/>
            <w:gridSpan w:val="2"/>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106158" w:rsidRPr="006F2BCD" w:rsidRDefault="00106158" w:rsidP="00106158">
            <w:pPr>
              <w:spacing w:after="0" w:line="240" w:lineRule="auto"/>
              <w:jc w:val="right"/>
              <w:rPr>
                <w:rFonts w:ascii="Calibri" w:eastAsia="Times New Roman" w:hAnsi="Calibri" w:cs="Arial"/>
                <w:color w:val="000000"/>
                <w:sz w:val="24"/>
                <w:szCs w:val="24"/>
                <w:lang w:eastAsia="en-AU"/>
              </w:rPr>
            </w:pPr>
            <w:r w:rsidRPr="006F2BCD">
              <w:rPr>
                <w:rFonts w:ascii="Calibri" w:eastAsia="Times New Roman" w:hAnsi="Calibri" w:cs="Arial"/>
                <w:color w:val="000000"/>
                <w:sz w:val="24"/>
                <w:szCs w:val="24"/>
                <w:lang w:eastAsia="en-AU"/>
              </w:rPr>
              <w:t xml:space="preserve"> $    531,775 </w:t>
            </w:r>
          </w:p>
        </w:tc>
      </w:tr>
      <w:tr w:rsidR="00106158" w:rsidRPr="006F2BCD" w:rsidTr="00106158">
        <w:trPr>
          <w:trHeight w:val="248"/>
        </w:trPr>
        <w:tc>
          <w:tcPr>
            <w:tcW w:w="2643" w:type="dxa"/>
            <w:tcBorders>
              <w:top w:val="single" w:sz="4" w:space="0" w:color="auto"/>
              <w:left w:val="single" w:sz="4" w:space="0" w:color="auto"/>
              <w:bottom w:val="single" w:sz="4" w:space="0" w:color="auto"/>
              <w:right w:val="single" w:sz="4" w:space="0" w:color="auto"/>
            </w:tcBorders>
            <w:shd w:val="clear" w:color="5B9BD5" w:fill="5B9BD5"/>
            <w:noWrap/>
            <w:vAlign w:val="center"/>
            <w:hideMark/>
          </w:tcPr>
          <w:p w:rsidR="00106158" w:rsidRPr="006F2BCD" w:rsidRDefault="00106158" w:rsidP="00106158">
            <w:pPr>
              <w:spacing w:after="0" w:line="240" w:lineRule="auto"/>
              <w:rPr>
                <w:rFonts w:ascii="Calibri" w:eastAsia="Times New Roman" w:hAnsi="Calibri" w:cs="Arial"/>
                <w:b/>
                <w:bCs/>
                <w:color w:val="FFFFFF"/>
                <w:sz w:val="24"/>
                <w:szCs w:val="24"/>
                <w:lang w:eastAsia="en-AU"/>
              </w:rPr>
            </w:pPr>
            <w:r w:rsidRPr="006F2BCD">
              <w:rPr>
                <w:rFonts w:ascii="Calibri" w:eastAsia="Times New Roman" w:hAnsi="Calibri" w:cs="Arial"/>
                <w:b/>
                <w:bCs/>
                <w:color w:val="FFFFFF"/>
                <w:sz w:val="24"/>
                <w:szCs w:val="24"/>
                <w:lang w:eastAsia="en-AU"/>
              </w:rPr>
              <w:t>TV of FCF</w:t>
            </w:r>
          </w:p>
        </w:tc>
        <w:tc>
          <w:tcPr>
            <w:tcW w:w="2293" w:type="dxa"/>
            <w:gridSpan w:val="2"/>
            <w:tcBorders>
              <w:top w:val="single" w:sz="4" w:space="0" w:color="auto"/>
              <w:left w:val="single" w:sz="4" w:space="0" w:color="auto"/>
              <w:bottom w:val="single" w:sz="4" w:space="0" w:color="auto"/>
              <w:right w:val="single" w:sz="4" w:space="0" w:color="auto"/>
            </w:tcBorders>
            <w:shd w:val="clear" w:color="DDEBF7" w:fill="DDEBF7"/>
            <w:noWrap/>
            <w:vAlign w:val="bottom"/>
            <w:hideMark/>
          </w:tcPr>
          <w:p w:rsidR="00106158" w:rsidRPr="006F2BCD" w:rsidRDefault="00106158" w:rsidP="00106158">
            <w:pPr>
              <w:spacing w:after="0" w:line="240" w:lineRule="auto"/>
              <w:jc w:val="right"/>
              <w:rPr>
                <w:rFonts w:ascii="Calibri" w:eastAsia="Times New Roman" w:hAnsi="Calibri" w:cs="Arial"/>
                <w:color w:val="000000"/>
                <w:sz w:val="24"/>
                <w:szCs w:val="24"/>
                <w:lang w:eastAsia="en-AU"/>
              </w:rPr>
            </w:pPr>
            <w:r w:rsidRPr="006F2BCD">
              <w:rPr>
                <w:rFonts w:ascii="Calibri" w:eastAsia="Times New Roman" w:hAnsi="Calibri" w:cs="Arial"/>
                <w:color w:val="000000"/>
                <w:sz w:val="24"/>
                <w:szCs w:val="24"/>
                <w:lang w:eastAsia="en-AU"/>
              </w:rPr>
              <w:t xml:space="preserve"> $ 1,231,764 </w:t>
            </w:r>
          </w:p>
        </w:tc>
        <w:tc>
          <w:tcPr>
            <w:tcW w:w="2317" w:type="dxa"/>
            <w:gridSpan w:val="2"/>
            <w:tcBorders>
              <w:top w:val="single" w:sz="4" w:space="0" w:color="auto"/>
              <w:left w:val="single" w:sz="4" w:space="0" w:color="auto"/>
              <w:bottom w:val="single" w:sz="4" w:space="0" w:color="auto"/>
              <w:right w:val="single" w:sz="4" w:space="0" w:color="auto"/>
            </w:tcBorders>
            <w:shd w:val="clear" w:color="DDEBF7" w:fill="DDEBF7"/>
            <w:noWrap/>
            <w:vAlign w:val="bottom"/>
            <w:hideMark/>
          </w:tcPr>
          <w:p w:rsidR="00106158" w:rsidRPr="006F2BCD" w:rsidRDefault="00106158" w:rsidP="00106158">
            <w:pPr>
              <w:spacing w:after="0" w:line="240" w:lineRule="auto"/>
              <w:jc w:val="right"/>
              <w:rPr>
                <w:rFonts w:ascii="Calibri" w:eastAsia="Times New Roman" w:hAnsi="Calibri" w:cs="Arial"/>
                <w:color w:val="000000"/>
                <w:sz w:val="24"/>
                <w:szCs w:val="24"/>
                <w:lang w:eastAsia="en-AU"/>
              </w:rPr>
            </w:pPr>
            <w:r w:rsidRPr="006F2BCD">
              <w:rPr>
                <w:rFonts w:ascii="Calibri" w:eastAsia="Times New Roman" w:hAnsi="Calibri" w:cs="Arial"/>
                <w:color w:val="000000"/>
                <w:sz w:val="24"/>
                <w:szCs w:val="24"/>
                <w:lang w:eastAsia="en-AU"/>
              </w:rPr>
              <w:t xml:space="preserve"> $1,201,373 </w:t>
            </w:r>
          </w:p>
        </w:tc>
        <w:tc>
          <w:tcPr>
            <w:tcW w:w="2316" w:type="dxa"/>
            <w:gridSpan w:val="2"/>
            <w:tcBorders>
              <w:top w:val="single" w:sz="4" w:space="0" w:color="auto"/>
              <w:left w:val="single" w:sz="4" w:space="0" w:color="auto"/>
              <w:bottom w:val="single" w:sz="4" w:space="0" w:color="auto"/>
              <w:right w:val="single" w:sz="4" w:space="0" w:color="auto"/>
            </w:tcBorders>
            <w:shd w:val="clear" w:color="DDEBF7" w:fill="DDEBF7"/>
            <w:noWrap/>
            <w:vAlign w:val="bottom"/>
            <w:hideMark/>
          </w:tcPr>
          <w:p w:rsidR="00106158" w:rsidRPr="006F2BCD" w:rsidRDefault="00106158" w:rsidP="00106158">
            <w:pPr>
              <w:spacing w:after="0" w:line="240" w:lineRule="auto"/>
              <w:jc w:val="right"/>
              <w:rPr>
                <w:rFonts w:ascii="Calibri" w:eastAsia="Times New Roman" w:hAnsi="Calibri" w:cs="Arial"/>
                <w:color w:val="000000"/>
                <w:sz w:val="24"/>
                <w:szCs w:val="24"/>
                <w:lang w:eastAsia="en-AU"/>
              </w:rPr>
            </w:pPr>
            <w:r w:rsidRPr="006F2BCD">
              <w:rPr>
                <w:rFonts w:ascii="Calibri" w:eastAsia="Times New Roman" w:hAnsi="Calibri" w:cs="Arial"/>
                <w:color w:val="000000"/>
                <w:sz w:val="24"/>
                <w:szCs w:val="24"/>
                <w:lang w:eastAsia="en-AU"/>
              </w:rPr>
              <w:t xml:space="preserve"> $ 1,270,864 </w:t>
            </w:r>
          </w:p>
        </w:tc>
      </w:tr>
      <w:tr w:rsidR="00106158" w:rsidRPr="006F2BCD" w:rsidTr="00106158">
        <w:trPr>
          <w:trHeight w:val="248"/>
        </w:trPr>
        <w:tc>
          <w:tcPr>
            <w:tcW w:w="2643" w:type="dxa"/>
            <w:tcBorders>
              <w:top w:val="single" w:sz="4" w:space="0" w:color="auto"/>
              <w:left w:val="single" w:sz="4" w:space="0" w:color="auto"/>
              <w:bottom w:val="single" w:sz="4" w:space="0" w:color="auto"/>
              <w:right w:val="single" w:sz="4" w:space="0" w:color="auto"/>
            </w:tcBorders>
            <w:shd w:val="clear" w:color="5B9BD5" w:fill="5B9BD5"/>
            <w:noWrap/>
            <w:vAlign w:val="center"/>
            <w:hideMark/>
          </w:tcPr>
          <w:p w:rsidR="00106158" w:rsidRPr="006F2BCD" w:rsidRDefault="00106158" w:rsidP="00106158">
            <w:pPr>
              <w:spacing w:after="0" w:line="240" w:lineRule="auto"/>
              <w:rPr>
                <w:rFonts w:ascii="Calibri" w:eastAsia="Times New Roman" w:hAnsi="Calibri" w:cs="Arial"/>
                <w:b/>
                <w:bCs/>
                <w:color w:val="FFFFFF"/>
                <w:sz w:val="24"/>
                <w:szCs w:val="24"/>
                <w:lang w:eastAsia="en-AU"/>
              </w:rPr>
            </w:pPr>
            <w:r w:rsidRPr="006F2BCD">
              <w:rPr>
                <w:rFonts w:ascii="Calibri" w:eastAsia="Times New Roman" w:hAnsi="Calibri" w:cs="Arial"/>
                <w:b/>
                <w:bCs/>
                <w:color w:val="FFFFFF"/>
                <w:sz w:val="24"/>
                <w:szCs w:val="24"/>
                <w:lang w:eastAsia="en-AU"/>
              </w:rPr>
              <w:t>Equity Value</w:t>
            </w:r>
          </w:p>
        </w:tc>
        <w:tc>
          <w:tcPr>
            <w:tcW w:w="2293" w:type="dxa"/>
            <w:gridSpan w:val="2"/>
            <w:tcBorders>
              <w:top w:val="single" w:sz="4" w:space="0" w:color="auto"/>
              <w:left w:val="single" w:sz="4" w:space="0" w:color="auto"/>
              <w:bottom w:val="single" w:sz="4" w:space="0" w:color="auto"/>
              <w:right w:val="single" w:sz="4" w:space="0" w:color="auto"/>
            </w:tcBorders>
            <w:shd w:val="clear" w:color="DDEBF7" w:fill="DDEBF7"/>
            <w:noWrap/>
            <w:vAlign w:val="bottom"/>
            <w:hideMark/>
          </w:tcPr>
          <w:p w:rsidR="00106158" w:rsidRPr="006F2BCD" w:rsidRDefault="00106158" w:rsidP="00106158">
            <w:pPr>
              <w:spacing w:after="0" w:line="240" w:lineRule="auto"/>
              <w:jc w:val="right"/>
              <w:rPr>
                <w:rFonts w:ascii="Calibri" w:eastAsia="Times New Roman" w:hAnsi="Calibri" w:cs="Arial"/>
                <w:color w:val="000000"/>
                <w:sz w:val="24"/>
                <w:szCs w:val="24"/>
                <w:lang w:eastAsia="en-AU"/>
              </w:rPr>
            </w:pPr>
            <w:r w:rsidRPr="006F2BCD">
              <w:rPr>
                <w:rFonts w:ascii="Calibri" w:eastAsia="Times New Roman" w:hAnsi="Calibri" w:cs="Arial"/>
                <w:color w:val="000000"/>
                <w:sz w:val="24"/>
                <w:szCs w:val="24"/>
                <w:lang w:eastAsia="en-AU"/>
              </w:rPr>
              <w:t xml:space="preserve"> $ 1,763,539 </w:t>
            </w:r>
          </w:p>
        </w:tc>
        <w:tc>
          <w:tcPr>
            <w:tcW w:w="2317" w:type="dxa"/>
            <w:gridSpan w:val="2"/>
            <w:tcBorders>
              <w:top w:val="single" w:sz="4" w:space="0" w:color="auto"/>
              <w:left w:val="single" w:sz="4" w:space="0" w:color="auto"/>
              <w:bottom w:val="single" w:sz="4" w:space="0" w:color="auto"/>
              <w:right w:val="single" w:sz="4" w:space="0" w:color="auto"/>
            </w:tcBorders>
            <w:shd w:val="clear" w:color="DDEBF7" w:fill="DDEBF7"/>
            <w:noWrap/>
            <w:vAlign w:val="bottom"/>
            <w:hideMark/>
          </w:tcPr>
          <w:p w:rsidR="00106158" w:rsidRPr="006F2BCD" w:rsidRDefault="00106158" w:rsidP="00106158">
            <w:pPr>
              <w:spacing w:after="0" w:line="240" w:lineRule="auto"/>
              <w:jc w:val="right"/>
              <w:rPr>
                <w:rFonts w:ascii="Calibri" w:eastAsia="Times New Roman" w:hAnsi="Calibri" w:cs="Arial"/>
                <w:color w:val="000000"/>
                <w:sz w:val="24"/>
                <w:szCs w:val="24"/>
                <w:lang w:eastAsia="en-AU"/>
              </w:rPr>
            </w:pPr>
            <w:r w:rsidRPr="006F2BCD">
              <w:rPr>
                <w:rFonts w:ascii="Calibri" w:eastAsia="Times New Roman" w:hAnsi="Calibri" w:cs="Arial"/>
                <w:color w:val="000000"/>
                <w:sz w:val="24"/>
                <w:szCs w:val="24"/>
                <w:lang w:eastAsia="en-AU"/>
              </w:rPr>
              <w:t xml:space="preserve"> $1,733,148 </w:t>
            </w:r>
          </w:p>
        </w:tc>
        <w:tc>
          <w:tcPr>
            <w:tcW w:w="2316" w:type="dxa"/>
            <w:gridSpan w:val="2"/>
            <w:tcBorders>
              <w:top w:val="single" w:sz="4" w:space="0" w:color="auto"/>
              <w:left w:val="single" w:sz="4" w:space="0" w:color="auto"/>
              <w:bottom w:val="single" w:sz="4" w:space="0" w:color="auto"/>
              <w:right w:val="single" w:sz="4" w:space="0" w:color="auto"/>
            </w:tcBorders>
            <w:shd w:val="clear" w:color="DDEBF7" w:fill="DDEBF7"/>
            <w:noWrap/>
            <w:vAlign w:val="bottom"/>
            <w:hideMark/>
          </w:tcPr>
          <w:p w:rsidR="00106158" w:rsidRPr="006F2BCD" w:rsidRDefault="00106158" w:rsidP="00106158">
            <w:pPr>
              <w:spacing w:after="0" w:line="240" w:lineRule="auto"/>
              <w:jc w:val="right"/>
              <w:rPr>
                <w:rFonts w:ascii="Calibri" w:eastAsia="Times New Roman" w:hAnsi="Calibri" w:cs="Arial"/>
                <w:color w:val="000000"/>
                <w:sz w:val="24"/>
                <w:szCs w:val="24"/>
                <w:lang w:eastAsia="en-AU"/>
              </w:rPr>
            </w:pPr>
            <w:r w:rsidRPr="006F2BCD">
              <w:rPr>
                <w:rFonts w:ascii="Calibri" w:eastAsia="Times New Roman" w:hAnsi="Calibri" w:cs="Arial"/>
                <w:color w:val="000000"/>
                <w:sz w:val="24"/>
                <w:szCs w:val="24"/>
                <w:lang w:eastAsia="en-AU"/>
              </w:rPr>
              <w:t xml:space="preserve"> $ 1,802,639 </w:t>
            </w:r>
          </w:p>
        </w:tc>
      </w:tr>
      <w:tr w:rsidR="00106158" w:rsidRPr="006F2BCD" w:rsidTr="00106158">
        <w:trPr>
          <w:trHeight w:val="261"/>
        </w:trPr>
        <w:tc>
          <w:tcPr>
            <w:tcW w:w="2643" w:type="dxa"/>
            <w:tcBorders>
              <w:top w:val="single" w:sz="4" w:space="0" w:color="auto"/>
              <w:left w:val="single" w:sz="4" w:space="0" w:color="auto"/>
              <w:bottom w:val="single" w:sz="4" w:space="0" w:color="FFFFFF"/>
              <w:right w:val="single" w:sz="4" w:space="0" w:color="auto"/>
            </w:tcBorders>
            <w:shd w:val="clear" w:color="5B9BD5" w:fill="5B9BD5"/>
            <w:noWrap/>
            <w:vAlign w:val="center"/>
            <w:hideMark/>
          </w:tcPr>
          <w:p w:rsidR="00106158" w:rsidRPr="006F2BCD" w:rsidRDefault="00106158" w:rsidP="00106158">
            <w:pPr>
              <w:spacing w:after="0" w:line="240" w:lineRule="auto"/>
              <w:rPr>
                <w:rFonts w:ascii="Calibri" w:eastAsia="Times New Roman" w:hAnsi="Calibri" w:cs="Arial"/>
                <w:b/>
                <w:bCs/>
                <w:color w:val="FFFFFF"/>
                <w:sz w:val="24"/>
                <w:szCs w:val="24"/>
                <w:lang w:eastAsia="en-AU"/>
              </w:rPr>
            </w:pPr>
            <w:r w:rsidRPr="006F2BCD">
              <w:rPr>
                <w:rFonts w:ascii="Calibri" w:eastAsia="Times New Roman" w:hAnsi="Calibri" w:cs="Arial"/>
                <w:b/>
                <w:bCs/>
                <w:color w:val="FFFFFF"/>
                <w:sz w:val="24"/>
                <w:szCs w:val="24"/>
                <w:lang w:eastAsia="en-AU"/>
              </w:rPr>
              <w:t>FCF share value</w:t>
            </w:r>
          </w:p>
        </w:tc>
        <w:tc>
          <w:tcPr>
            <w:tcW w:w="2293" w:type="dxa"/>
            <w:gridSpan w:val="2"/>
            <w:tcBorders>
              <w:top w:val="single" w:sz="4" w:space="0" w:color="auto"/>
              <w:left w:val="single" w:sz="4" w:space="0" w:color="auto"/>
              <w:bottom w:val="single" w:sz="4" w:space="0" w:color="FFFFFF"/>
              <w:right w:val="single" w:sz="4" w:space="0" w:color="auto"/>
            </w:tcBorders>
            <w:shd w:val="clear" w:color="DDEBF7" w:fill="DDEBF7"/>
            <w:noWrap/>
            <w:vAlign w:val="bottom"/>
            <w:hideMark/>
          </w:tcPr>
          <w:p w:rsidR="00106158" w:rsidRPr="006F2BCD" w:rsidRDefault="00106158" w:rsidP="00106158">
            <w:pPr>
              <w:spacing w:after="0" w:line="240" w:lineRule="auto"/>
              <w:jc w:val="right"/>
              <w:rPr>
                <w:rFonts w:ascii="Calibri" w:eastAsia="Times New Roman" w:hAnsi="Calibri" w:cs="Arial"/>
                <w:color w:val="000000"/>
                <w:sz w:val="24"/>
                <w:szCs w:val="24"/>
                <w:lang w:eastAsia="en-AU"/>
              </w:rPr>
            </w:pPr>
            <w:r w:rsidRPr="006F2BCD">
              <w:rPr>
                <w:rFonts w:ascii="Calibri" w:eastAsia="Times New Roman" w:hAnsi="Calibri" w:cs="Arial"/>
                <w:color w:val="000000"/>
                <w:sz w:val="24"/>
                <w:szCs w:val="24"/>
                <w:lang w:eastAsia="en-AU"/>
              </w:rPr>
              <w:t xml:space="preserve"> $            0.75 </w:t>
            </w:r>
          </w:p>
        </w:tc>
        <w:tc>
          <w:tcPr>
            <w:tcW w:w="2317" w:type="dxa"/>
            <w:gridSpan w:val="2"/>
            <w:tcBorders>
              <w:top w:val="single" w:sz="4" w:space="0" w:color="auto"/>
              <w:left w:val="single" w:sz="4" w:space="0" w:color="auto"/>
              <w:bottom w:val="single" w:sz="4" w:space="0" w:color="FFFFFF"/>
              <w:right w:val="single" w:sz="4" w:space="0" w:color="auto"/>
            </w:tcBorders>
            <w:shd w:val="clear" w:color="DDEBF7" w:fill="DDEBF7"/>
            <w:noWrap/>
            <w:vAlign w:val="bottom"/>
            <w:hideMark/>
          </w:tcPr>
          <w:p w:rsidR="00106158" w:rsidRPr="006F2BCD" w:rsidRDefault="00106158" w:rsidP="00106158">
            <w:pPr>
              <w:spacing w:after="0" w:line="240" w:lineRule="auto"/>
              <w:jc w:val="right"/>
              <w:rPr>
                <w:rFonts w:ascii="Calibri" w:eastAsia="Times New Roman" w:hAnsi="Calibri" w:cs="Arial"/>
                <w:color w:val="000000"/>
                <w:sz w:val="24"/>
                <w:szCs w:val="24"/>
                <w:lang w:eastAsia="en-AU"/>
              </w:rPr>
            </w:pPr>
            <w:r w:rsidRPr="006F2BCD">
              <w:rPr>
                <w:rFonts w:ascii="Calibri" w:eastAsia="Times New Roman" w:hAnsi="Calibri" w:cs="Arial"/>
                <w:color w:val="000000"/>
                <w:sz w:val="24"/>
                <w:szCs w:val="24"/>
                <w:lang w:eastAsia="en-AU"/>
              </w:rPr>
              <w:t xml:space="preserve"> $           0.74 </w:t>
            </w:r>
          </w:p>
        </w:tc>
        <w:tc>
          <w:tcPr>
            <w:tcW w:w="2316" w:type="dxa"/>
            <w:gridSpan w:val="2"/>
            <w:tcBorders>
              <w:top w:val="single" w:sz="4" w:space="0" w:color="auto"/>
              <w:left w:val="single" w:sz="4" w:space="0" w:color="auto"/>
              <w:bottom w:val="single" w:sz="4" w:space="0" w:color="FFFFFF"/>
              <w:right w:val="single" w:sz="4" w:space="0" w:color="auto"/>
            </w:tcBorders>
            <w:shd w:val="clear" w:color="DDEBF7" w:fill="DDEBF7"/>
            <w:noWrap/>
            <w:vAlign w:val="bottom"/>
            <w:hideMark/>
          </w:tcPr>
          <w:p w:rsidR="00106158" w:rsidRPr="006F2BCD" w:rsidRDefault="00106158" w:rsidP="00106158">
            <w:pPr>
              <w:spacing w:after="0" w:line="240" w:lineRule="auto"/>
              <w:jc w:val="right"/>
              <w:rPr>
                <w:rFonts w:ascii="Calibri" w:eastAsia="Times New Roman" w:hAnsi="Calibri" w:cs="Arial"/>
                <w:color w:val="000000"/>
                <w:sz w:val="24"/>
                <w:szCs w:val="24"/>
                <w:lang w:eastAsia="en-AU"/>
              </w:rPr>
            </w:pPr>
            <w:r w:rsidRPr="006F2BCD">
              <w:rPr>
                <w:rFonts w:ascii="Calibri" w:eastAsia="Times New Roman" w:hAnsi="Calibri" w:cs="Arial"/>
                <w:color w:val="000000"/>
                <w:sz w:val="24"/>
                <w:szCs w:val="24"/>
                <w:lang w:eastAsia="en-AU"/>
              </w:rPr>
              <w:t xml:space="preserve"> $           0.77 </w:t>
            </w:r>
          </w:p>
        </w:tc>
      </w:tr>
      <w:tr w:rsidR="00106158" w:rsidRPr="006F2BCD" w:rsidTr="00106158">
        <w:trPr>
          <w:trHeight w:val="141"/>
        </w:trPr>
        <w:tc>
          <w:tcPr>
            <w:tcW w:w="2643" w:type="dxa"/>
            <w:tcBorders>
              <w:top w:val="single" w:sz="8" w:space="0" w:color="auto"/>
              <w:left w:val="single" w:sz="4" w:space="0" w:color="auto"/>
              <w:bottom w:val="single" w:sz="8" w:space="0" w:color="auto"/>
              <w:right w:val="single" w:sz="4" w:space="0" w:color="auto"/>
            </w:tcBorders>
            <w:shd w:val="clear" w:color="000000" w:fill="AEAAAA"/>
            <w:noWrap/>
            <w:vAlign w:val="center"/>
            <w:hideMark/>
          </w:tcPr>
          <w:p w:rsidR="00106158" w:rsidRPr="006F2BCD" w:rsidRDefault="00106158" w:rsidP="00106158">
            <w:pPr>
              <w:spacing w:after="0" w:line="240" w:lineRule="auto"/>
              <w:rPr>
                <w:rFonts w:ascii="Calibri" w:eastAsia="Times New Roman" w:hAnsi="Calibri" w:cs="Arial"/>
                <w:b/>
                <w:bCs/>
                <w:color w:val="FFFFFF"/>
                <w:sz w:val="24"/>
                <w:szCs w:val="24"/>
                <w:lang w:eastAsia="en-AU"/>
              </w:rPr>
            </w:pPr>
            <w:r w:rsidRPr="006F2BCD">
              <w:rPr>
                <w:rFonts w:ascii="Calibri" w:eastAsia="Times New Roman" w:hAnsi="Calibri" w:cs="Arial"/>
                <w:b/>
                <w:bCs/>
                <w:color w:val="FFFFFF"/>
                <w:sz w:val="24"/>
                <w:szCs w:val="24"/>
                <w:lang w:eastAsia="en-AU"/>
              </w:rPr>
              <w:t> </w:t>
            </w:r>
          </w:p>
        </w:tc>
        <w:tc>
          <w:tcPr>
            <w:tcW w:w="2293" w:type="dxa"/>
            <w:gridSpan w:val="2"/>
            <w:tcBorders>
              <w:top w:val="single" w:sz="8" w:space="0" w:color="auto"/>
              <w:left w:val="single" w:sz="4" w:space="0" w:color="auto"/>
              <w:bottom w:val="single" w:sz="8" w:space="0" w:color="auto"/>
              <w:right w:val="single" w:sz="4" w:space="0" w:color="auto"/>
            </w:tcBorders>
            <w:shd w:val="clear" w:color="000000" w:fill="AEAAAA"/>
            <w:noWrap/>
            <w:vAlign w:val="bottom"/>
            <w:hideMark/>
          </w:tcPr>
          <w:p w:rsidR="00106158" w:rsidRPr="006F2BCD" w:rsidRDefault="00106158" w:rsidP="00106158">
            <w:pPr>
              <w:spacing w:after="0" w:line="240" w:lineRule="auto"/>
              <w:jc w:val="right"/>
              <w:rPr>
                <w:rFonts w:ascii="Calibri" w:eastAsia="Times New Roman" w:hAnsi="Calibri" w:cs="Arial"/>
                <w:color w:val="000000"/>
                <w:sz w:val="24"/>
                <w:szCs w:val="24"/>
                <w:lang w:eastAsia="en-AU"/>
              </w:rPr>
            </w:pPr>
            <w:r w:rsidRPr="006F2BCD">
              <w:rPr>
                <w:rFonts w:ascii="Calibri" w:eastAsia="Times New Roman" w:hAnsi="Calibri" w:cs="Arial"/>
                <w:color w:val="000000"/>
                <w:sz w:val="24"/>
                <w:szCs w:val="24"/>
                <w:lang w:eastAsia="en-AU"/>
              </w:rPr>
              <w:t> </w:t>
            </w:r>
          </w:p>
        </w:tc>
        <w:tc>
          <w:tcPr>
            <w:tcW w:w="2317" w:type="dxa"/>
            <w:gridSpan w:val="2"/>
            <w:tcBorders>
              <w:top w:val="single" w:sz="8" w:space="0" w:color="auto"/>
              <w:left w:val="single" w:sz="4" w:space="0" w:color="auto"/>
              <w:bottom w:val="single" w:sz="8" w:space="0" w:color="auto"/>
              <w:right w:val="single" w:sz="4" w:space="0" w:color="auto"/>
            </w:tcBorders>
            <w:shd w:val="clear" w:color="000000" w:fill="AEAAAA"/>
            <w:noWrap/>
            <w:vAlign w:val="bottom"/>
            <w:hideMark/>
          </w:tcPr>
          <w:p w:rsidR="00106158" w:rsidRPr="006F2BCD" w:rsidRDefault="00106158" w:rsidP="00106158">
            <w:pPr>
              <w:spacing w:after="0" w:line="240" w:lineRule="auto"/>
              <w:jc w:val="right"/>
              <w:rPr>
                <w:rFonts w:ascii="Calibri" w:eastAsia="Times New Roman" w:hAnsi="Calibri" w:cs="Arial"/>
                <w:color w:val="000000"/>
                <w:sz w:val="24"/>
                <w:szCs w:val="24"/>
                <w:lang w:eastAsia="en-AU"/>
              </w:rPr>
            </w:pPr>
            <w:r w:rsidRPr="006F2BCD">
              <w:rPr>
                <w:rFonts w:ascii="Calibri" w:eastAsia="Times New Roman" w:hAnsi="Calibri" w:cs="Arial"/>
                <w:color w:val="000000"/>
                <w:sz w:val="24"/>
                <w:szCs w:val="24"/>
                <w:lang w:eastAsia="en-AU"/>
              </w:rPr>
              <w:t> </w:t>
            </w:r>
          </w:p>
        </w:tc>
        <w:tc>
          <w:tcPr>
            <w:tcW w:w="2316" w:type="dxa"/>
            <w:gridSpan w:val="2"/>
            <w:tcBorders>
              <w:top w:val="single" w:sz="8" w:space="0" w:color="auto"/>
              <w:left w:val="single" w:sz="4" w:space="0" w:color="auto"/>
              <w:bottom w:val="single" w:sz="8" w:space="0" w:color="auto"/>
              <w:right w:val="single" w:sz="4" w:space="0" w:color="auto"/>
            </w:tcBorders>
            <w:shd w:val="clear" w:color="000000" w:fill="AEAAAA"/>
            <w:noWrap/>
            <w:vAlign w:val="bottom"/>
            <w:hideMark/>
          </w:tcPr>
          <w:p w:rsidR="00106158" w:rsidRPr="006F2BCD" w:rsidRDefault="00106158" w:rsidP="00106158">
            <w:pPr>
              <w:spacing w:after="0" w:line="240" w:lineRule="auto"/>
              <w:jc w:val="right"/>
              <w:rPr>
                <w:rFonts w:ascii="Calibri" w:eastAsia="Times New Roman" w:hAnsi="Calibri" w:cs="Arial"/>
                <w:color w:val="000000"/>
                <w:sz w:val="24"/>
                <w:szCs w:val="24"/>
                <w:lang w:eastAsia="en-AU"/>
              </w:rPr>
            </w:pPr>
            <w:r w:rsidRPr="006F2BCD">
              <w:rPr>
                <w:rFonts w:ascii="Calibri" w:eastAsia="Times New Roman" w:hAnsi="Calibri" w:cs="Arial"/>
                <w:color w:val="000000"/>
                <w:sz w:val="24"/>
                <w:szCs w:val="24"/>
                <w:lang w:eastAsia="en-AU"/>
              </w:rPr>
              <w:t> </w:t>
            </w:r>
          </w:p>
        </w:tc>
      </w:tr>
      <w:tr w:rsidR="00106158" w:rsidRPr="006F2BCD" w:rsidTr="00106158">
        <w:trPr>
          <w:trHeight w:val="248"/>
        </w:trPr>
        <w:tc>
          <w:tcPr>
            <w:tcW w:w="2643" w:type="dxa"/>
            <w:tcBorders>
              <w:top w:val="single" w:sz="4" w:space="0" w:color="FFFFFF"/>
              <w:left w:val="single" w:sz="4" w:space="0" w:color="auto"/>
              <w:bottom w:val="single" w:sz="4" w:space="0" w:color="auto"/>
              <w:right w:val="single" w:sz="4" w:space="0" w:color="auto"/>
            </w:tcBorders>
            <w:shd w:val="clear" w:color="5B9BD5" w:fill="5B9BD5"/>
            <w:vAlign w:val="center"/>
            <w:hideMark/>
          </w:tcPr>
          <w:p w:rsidR="00106158" w:rsidRPr="006F2BCD" w:rsidRDefault="00106158" w:rsidP="00106158">
            <w:pPr>
              <w:spacing w:after="0" w:line="240" w:lineRule="auto"/>
              <w:rPr>
                <w:rFonts w:ascii="Calibri" w:eastAsia="Times New Roman" w:hAnsi="Calibri" w:cs="Arial"/>
                <w:b/>
                <w:bCs/>
                <w:color w:val="FFFFFF"/>
                <w:sz w:val="24"/>
                <w:szCs w:val="24"/>
                <w:lang w:eastAsia="en-AU"/>
              </w:rPr>
            </w:pPr>
            <w:r>
              <w:rPr>
                <w:rFonts w:ascii="Calibri" w:eastAsia="Times New Roman" w:hAnsi="Calibri" w:cs="Arial"/>
                <w:b/>
                <w:bCs/>
                <w:color w:val="FFFFFF"/>
                <w:sz w:val="24"/>
                <w:szCs w:val="24"/>
                <w:lang w:eastAsia="en-AU"/>
              </w:rPr>
              <w:t>Sum of PV of AE</w:t>
            </w:r>
            <w:r w:rsidRPr="006F2BCD">
              <w:rPr>
                <w:rFonts w:ascii="Calibri" w:eastAsia="Times New Roman" w:hAnsi="Calibri" w:cs="Arial"/>
                <w:b/>
                <w:bCs/>
                <w:color w:val="FFFFFF"/>
                <w:sz w:val="24"/>
                <w:szCs w:val="24"/>
                <w:lang w:eastAsia="en-AU"/>
              </w:rPr>
              <w:t>s</w:t>
            </w:r>
          </w:p>
        </w:tc>
        <w:tc>
          <w:tcPr>
            <w:tcW w:w="2293" w:type="dxa"/>
            <w:gridSpan w:val="2"/>
            <w:tcBorders>
              <w:top w:val="single" w:sz="4" w:space="0" w:color="FFFFFF"/>
              <w:left w:val="single" w:sz="4" w:space="0" w:color="auto"/>
              <w:bottom w:val="single" w:sz="4" w:space="0" w:color="auto"/>
              <w:right w:val="single" w:sz="4" w:space="0" w:color="auto"/>
            </w:tcBorders>
            <w:shd w:val="clear" w:color="DDEBF7" w:fill="DDEBF7"/>
            <w:noWrap/>
            <w:vAlign w:val="center"/>
            <w:hideMark/>
          </w:tcPr>
          <w:p w:rsidR="00106158" w:rsidRPr="006F2BCD" w:rsidRDefault="00106158" w:rsidP="00106158">
            <w:pPr>
              <w:spacing w:after="0" w:line="240" w:lineRule="auto"/>
              <w:jc w:val="right"/>
              <w:rPr>
                <w:rFonts w:ascii="Calibri" w:eastAsia="Times New Roman" w:hAnsi="Calibri" w:cs="Arial"/>
                <w:color w:val="000000"/>
                <w:sz w:val="24"/>
                <w:szCs w:val="24"/>
                <w:lang w:eastAsia="en-AU"/>
              </w:rPr>
            </w:pPr>
            <w:r w:rsidRPr="006F2BCD">
              <w:rPr>
                <w:rFonts w:ascii="Calibri" w:eastAsia="Times New Roman" w:hAnsi="Calibri" w:cs="Arial"/>
                <w:color w:val="000000"/>
                <w:sz w:val="24"/>
                <w:szCs w:val="24"/>
                <w:lang w:eastAsia="en-AU"/>
              </w:rPr>
              <w:t xml:space="preserve"> $   (135,021)</w:t>
            </w:r>
          </w:p>
        </w:tc>
        <w:tc>
          <w:tcPr>
            <w:tcW w:w="2317" w:type="dxa"/>
            <w:gridSpan w:val="2"/>
            <w:tcBorders>
              <w:top w:val="single" w:sz="4" w:space="0" w:color="FFFFFF"/>
              <w:left w:val="single" w:sz="4" w:space="0" w:color="auto"/>
              <w:bottom w:val="single" w:sz="4" w:space="0" w:color="auto"/>
              <w:right w:val="single" w:sz="4" w:space="0" w:color="auto"/>
            </w:tcBorders>
            <w:shd w:val="clear" w:color="DDEBF7" w:fill="DDEBF7"/>
            <w:noWrap/>
            <w:vAlign w:val="center"/>
            <w:hideMark/>
          </w:tcPr>
          <w:p w:rsidR="00106158" w:rsidRPr="006F2BCD" w:rsidRDefault="00106158" w:rsidP="00106158">
            <w:pPr>
              <w:spacing w:after="0" w:line="240" w:lineRule="auto"/>
              <w:jc w:val="right"/>
              <w:rPr>
                <w:rFonts w:ascii="Calibri" w:eastAsia="Times New Roman" w:hAnsi="Calibri" w:cs="Arial"/>
                <w:color w:val="000000"/>
                <w:sz w:val="24"/>
                <w:szCs w:val="24"/>
                <w:lang w:eastAsia="en-AU"/>
              </w:rPr>
            </w:pPr>
            <w:r w:rsidRPr="006F2BCD">
              <w:rPr>
                <w:rFonts w:ascii="Calibri" w:eastAsia="Times New Roman" w:hAnsi="Calibri" w:cs="Arial"/>
                <w:color w:val="000000"/>
                <w:sz w:val="24"/>
                <w:szCs w:val="24"/>
                <w:lang w:eastAsia="en-AU"/>
              </w:rPr>
              <w:t xml:space="preserve"> $  (135,021)</w:t>
            </w:r>
          </w:p>
        </w:tc>
        <w:tc>
          <w:tcPr>
            <w:tcW w:w="2316" w:type="dxa"/>
            <w:gridSpan w:val="2"/>
            <w:tcBorders>
              <w:top w:val="single" w:sz="4" w:space="0" w:color="FFFFFF"/>
              <w:left w:val="single" w:sz="4" w:space="0" w:color="auto"/>
              <w:bottom w:val="single" w:sz="4" w:space="0" w:color="auto"/>
              <w:right w:val="single" w:sz="4" w:space="0" w:color="auto"/>
            </w:tcBorders>
            <w:shd w:val="clear" w:color="DDEBF7" w:fill="DDEBF7"/>
            <w:noWrap/>
            <w:vAlign w:val="center"/>
            <w:hideMark/>
          </w:tcPr>
          <w:p w:rsidR="00106158" w:rsidRPr="006F2BCD" w:rsidRDefault="00106158" w:rsidP="00106158">
            <w:pPr>
              <w:spacing w:after="0" w:line="240" w:lineRule="auto"/>
              <w:jc w:val="right"/>
              <w:rPr>
                <w:rFonts w:ascii="Calibri" w:eastAsia="Times New Roman" w:hAnsi="Calibri" w:cs="Arial"/>
                <w:color w:val="000000"/>
                <w:sz w:val="24"/>
                <w:szCs w:val="24"/>
                <w:lang w:eastAsia="en-AU"/>
              </w:rPr>
            </w:pPr>
            <w:r w:rsidRPr="006F2BCD">
              <w:rPr>
                <w:rFonts w:ascii="Calibri" w:eastAsia="Times New Roman" w:hAnsi="Calibri" w:cs="Arial"/>
                <w:color w:val="000000"/>
                <w:sz w:val="24"/>
                <w:szCs w:val="24"/>
                <w:lang w:eastAsia="en-AU"/>
              </w:rPr>
              <w:t xml:space="preserve"> $   (135,021)</w:t>
            </w:r>
          </w:p>
        </w:tc>
      </w:tr>
      <w:tr w:rsidR="00106158" w:rsidRPr="006F2BCD" w:rsidTr="00106158">
        <w:trPr>
          <w:trHeight w:val="248"/>
        </w:trPr>
        <w:tc>
          <w:tcPr>
            <w:tcW w:w="2643" w:type="dxa"/>
            <w:tcBorders>
              <w:top w:val="single" w:sz="4" w:space="0" w:color="auto"/>
              <w:left w:val="single" w:sz="4" w:space="0" w:color="auto"/>
              <w:bottom w:val="single" w:sz="4" w:space="0" w:color="auto"/>
              <w:right w:val="single" w:sz="4" w:space="0" w:color="auto"/>
            </w:tcBorders>
            <w:shd w:val="clear" w:color="5B9BD5" w:fill="5B9BD5"/>
            <w:noWrap/>
            <w:vAlign w:val="center"/>
            <w:hideMark/>
          </w:tcPr>
          <w:p w:rsidR="00106158" w:rsidRPr="006F2BCD" w:rsidRDefault="00106158" w:rsidP="00106158">
            <w:pPr>
              <w:spacing w:after="0" w:line="240" w:lineRule="auto"/>
              <w:rPr>
                <w:rFonts w:ascii="Calibri" w:eastAsia="Times New Roman" w:hAnsi="Calibri" w:cs="Arial"/>
                <w:b/>
                <w:bCs/>
                <w:color w:val="FFFFFF"/>
                <w:sz w:val="24"/>
                <w:szCs w:val="24"/>
                <w:lang w:eastAsia="en-AU"/>
              </w:rPr>
            </w:pPr>
            <w:r w:rsidRPr="006F2BCD">
              <w:rPr>
                <w:rFonts w:ascii="Calibri" w:eastAsia="Times New Roman" w:hAnsi="Calibri" w:cs="Arial"/>
                <w:b/>
                <w:bCs/>
                <w:color w:val="FFFFFF"/>
                <w:sz w:val="24"/>
                <w:szCs w:val="24"/>
                <w:lang w:eastAsia="en-AU"/>
              </w:rPr>
              <w:t>TV of AE</w:t>
            </w:r>
          </w:p>
        </w:tc>
        <w:tc>
          <w:tcPr>
            <w:tcW w:w="2293" w:type="dxa"/>
            <w:gridSpan w:val="2"/>
            <w:tcBorders>
              <w:top w:val="single" w:sz="4" w:space="0" w:color="auto"/>
              <w:left w:val="single" w:sz="4" w:space="0" w:color="auto"/>
              <w:bottom w:val="single" w:sz="4" w:space="0" w:color="auto"/>
              <w:right w:val="single" w:sz="4" w:space="0" w:color="auto"/>
            </w:tcBorders>
            <w:shd w:val="clear" w:color="DDEBF7" w:fill="DDEBF7"/>
            <w:noWrap/>
            <w:vAlign w:val="bottom"/>
            <w:hideMark/>
          </w:tcPr>
          <w:p w:rsidR="00106158" w:rsidRPr="006F2BCD" w:rsidRDefault="00106158" w:rsidP="00106158">
            <w:pPr>
              <w:spacing w:after="0" w:line="240" w:lineRule="auto"/>
              <w:jc w:val="right"/>
              <w:rPr>
                <w:rFonts w:ascii="Calibri" w:eastAsia="Times New Roman" w:hAnsi="Calibri" w:cs="Arial"/>
                <w:color w:val="000000"/>
                <w:sz w:val="24"/>
                <w:szCs w:val="24"/>
                <w:lang w:eastAsia="en-AU"/>
              </w:rPr>
            </w:pPr>
            <w:r w:rsidRPr="006F2BCD">
              <w:rPr>
                <w:rFonts w:ascii="Calibri" w:eastAsia="Times New Roman" w:hAnsi="Calibri" w:cs="Arial"/>
                <w:color w:val="000000"/>
                <w:sz w:val="24"/>
                <w:szCs w:val="24"/>
                <w:lang w:eastAsia="en-AU"/>
              </w:rPr>
              <w:t xml:space="preserve"> $     111,776 </w:t>
            </w:r>
          </w:p>
        </w:tc>
        <w:tc>
          <w:tcPr>
            <w:tcW w:w="2317" w:type="dxa"/>
            <w:gridSpan w:val="2"/>
            <w:tcBorders>
              <w:top w:val="single" w:sz="4" w:space="0" w:color="auto"/>
              <w:left w:val="single" w:sz="4" w:space="0" w:color="auto"/>
              <w:bottom w:val="single" w:sz="4" w:space="0" w:color="auto"/>
              <w:right w:val="single" w:sz="4" w:space="0" w:color="auto"/>
            </w:tcBorders>
            <w:shd w:val="clear" w:color="DDEBF7" w:fill="DDEBF7"/>
            <w:noWrap/>
            <w:vAlign w:val="bottom"/>
            <w:hideMark/>
          </w:tcPr>
          <w:p w:rsidR="00106158" w:rsidRPr="006F2BCD" w:rsidRDefault="00106158" w:rsidP="00106158">
            <w:pPr>
              <w:spacing w:after="0" w:line="240" w:lineRule="auto"/>
              <w:jc w:val="right"/>
              <w:rPr>
                <w:rFonts w:ascii="Calibri" w:eastAsia="Times New Roman" w:hAnsi="Calibri" w:cs="Arial"/>
                <w:color w:val="000000"/>
                <w:sz w:val="24"/>
                <w:szCs w:val="24"/>
                <w:lang w:eastAsia="en-AU"/>
              </w:rPr>
            </w:pPr>
            <w:r w:rsidRPr="006F2BCD">
              <w:rPr>
                <w:rFonts w:ascii="Calibri" w:eastAsia="Times New Roman" w:hAnsi="Calibri" w:cs="Arial"/>
                <w:color w:val="000000"/>
                <w:sz w:val="24"/>
                <w:szCs w:val="24"/>
                <w:lang w:eastAsia="en-AU"/>
              </w:rPr>
              <w:t xml:space="preserve"> $    109,018 </w:t>
            </w:r>
          </w:p>
        </w:tc>
        <w:tc>
          <w:tcPr>
            <w:tcW w:w="2316" w:type="dxa"/>
            <w:gridSpan w:val="2"/>
            <w:tcBorders>
              <w:top w:val="single" w:sz="4" w:space="0" w:color="auto"/>
              <w:left w:val="single" w:sz="4" w:space="0" w:color="auto"/>
              <w:bottom w:val="single" w:sz="4" w:space="0" w:color="auto"/>
              <w:right w:val="single" w:sz="4" w:space="0" w:color="auto"/>
            </w:tcBorders>
            <w:shd w:val="clear" w:color="DDEBF7" w:fill="DDEBF7"/>
            <w:noWrap/>
            <w:vAlign w:val="bottom"/>
            <w:hideMark/>
          </w:tcPr>
          <w:p w:rsidR="00106158" w:rsidRPr="006F2BCD" w:rsidRDefault="00106158" w:rsidP="00106158">
            <w:pPr>
              <w:spacing w:after="0" w:line="240" w:lineRule="auto"/>
              <w:jc w:val="right"/>
              <w:rPr>
                <w:rFonts w:ascii="Calibri" w:eastAsia="Times New Roman" w:hAnsi="Calibri" w:cs="Arial"/>
                <w:color w:val="000000"/>
                <w:sz w:val="24"/>
                <w:szCs w:val="24"/>
                <w:lang w:eastAsia="en-AU"/>
              </w:rPr>
            </w:pPr>
            <w:r w:rsidRPr="006F2BCD">
              <w:rPr>
                <w:rFonts w:ascii="Calibri" w:eastAsia="Times New Roman" w:hAnsi="Calibri" w:cs="Arial"/>
                <w:color w:val="000000"/>
                <w:sz w:val="24"/>
                <w:szCs w:val="24"/>
                <w:lang w:eastAsia="en-AU"/>
              </w:rPr>
              <w:t xml:space="preserve"> $    115,324 </w:t>
            </w:r>
          </w:p>
        </w:tc>
      </w:tr>
      <w:tr w:rsidR="00106158" w:rsidRPr="006F2BCD" w:rsidTr="00106158">
        <w:trPr>
          <w:trHeight w:val="248"/>
        </w:trPr>
        <w:tc>
          <w:tcPr>
            <w:tcW w:w="2643" w:type="dxa"/>
            <w:tcBorders>
              <w:top w:val="single" w:sz="4" w:space="0" w:color="auto"/>
              <w:left w:val="single" w:sz="4" w:space="0" w:color="auto"/>
              <w:bottom w:val="single" w:sz="4" w:space="0" w:color="auto"/>
              <w:right w:val="single" w:sz="4" w:space="0" w:color="auto"/>
            </w:tcBorders>
            <w:shd w:val="clear" w:color="5B9BD5" w:fill="5B9BD5"/>
            <w:noWrap/>
            <w:vAlign w:val="center"/>
            <w:hideMark/>
          </w:tcPr>
          <w:p w:rsidR="00106158" w:rsidRPr="006F2BCD" w:rsidRDefault="00106158" w:rsidP="00106158">
            <w:pPr>
              <w:spacing w:after="0" w:line="240" w:lineRule="auto"/>
              <w:rPr>
                <w:rFonts w:ascii="Calibri" w:eastAsia="Times New Roman" w:hAnsi="Calibri" w:cs="Arial"/>
                <w:b/>
                <w:bCs/>
                <w:color w:val="FFFFFF"/>
                <w:sz w:val="24"/>
                <w:szCs w:val="24"/>
                <w:lang w:eastAsia="en-AU"/>
              </w:rPr>
            </w:pPr>
            <w:r w:rsidRPr="006F2BCD">
              <w:rPr>
                <w:rFonts w:ascii="Calibri" w:eastAsia="Times New Roman" w:hAnsi="Calibri" w:cs="Arial"/>
                <w:b/>
                <w:bCs/>
                <w:color w:val="FFFFFF"/>
                <w:sz w:val="24"/>
                <w:szCs w:val="24"/>
                <w:lang w:eastAsia="en-AU"/>
              </w:rPr>
              <w:t>Equity value</w:t>
            </w:r>
          </w:p>
        </w:tc>
        <w:tc>
          <w:tcPr>
            <w:tcW w:w="2293" w:type="dxa"/>
            <w:gridSpan w:val="2"/>
            <w:tcBorders>
              <w:top w:val="single" w:sz="4" w:space="0" w:color="auto"/>
              <w:left w:val="single" w:sz="4" w:space="0" w:color="auto"/>
              <w:bottom w:val="single" w:sz="4" w:space="0" w:color="auto"/>
              <w:right w:val="single" w:sz="4" w:space="0" w:color="auto"/>
            </w:tcBorders>
            <w:shd w:val="clear" w:color="DDEBF7" w:fill="DDEBF7"/>
            <w:noWrap/>
            <w:vAlign w:val="bottom"/>
            <w:hideMark/>
          </w:tcPr>
          <w:p w:rsidR="00106158" w:rsidRPr="006F2BCD" w:rsidRDefault="00106158" w:rsidP="00106158">
            <w:pPr>
              <w:spacing w:after="0" w:line="240" w:lineRule="auto"/>
              <w:jc w:val="right"/>
              <w:rPr>
                <w:rFonts w:ascii="Calibri" w:eastAsia="Times New Roman" w:hAnsi="Calibri" w:cs="Arial"/>
                <w:color w:val="000000"/>
                <w:sz w:val="24"/>
                <w:szCs w:val="24"/>
                <w:lang w:eastAsia="en-AU"/>
              </w:rPr>
            </w:pPr>
            <w:r w:rsidRPr="006F2BCD">
              <w:rPr>
                <w:rFonts w:ascii="Calibri" w:eastAsia="Times New Roman" w:hAnsi="Calibri" w:cs="Arial"/>
                <w:color w:val="000000"/>
                <w:sz w:val="24"/>
                <w:szCs w:val="24"/>
                <w:lang w:eastAsia="en-AU"/>
              </w:rPr>
              <w:t xml:space="preserve"> $ 1,792,951 </w:t>
            </w:r>
          </w:p>
        </w:tc>
        <w:tc>
          <w:tcPr>
            <w:tcW w:w="2317" w:type="dxa"/>
            <w:gridSpan w:val="2"/>
            <w:tcBorders>
              <w:top w:val="single" w:sz="4" w:space="0" w:color="auto"/>
              <w:left w:val="single" w:sz="4" w:space="0" w:color="auto"/>
              <w:bottom w:val="single" w:sz="4" w:space="0" w:color="auto"/>
              <w:right w:val="single" w:sz="4" w:space="0" w:color="auto"/>
            </w:tcBorders>
            <w:shd w:val="clear" w:color="DDEBF7" w:fill="DDEBF7"/>
            <w:noWrap/>
            <w:vAlign w:val="bottom"/>
            <w:hideMark/>
          </w:tcPr>
          <w:p w:rsidR="00106158" w:rsidRPr="006F2BCD" w:rsidRDefault="00106158" w:rsidP="00106158">
            <w:pPr>
              <w:spacing w:after="0" w:line="240" w:lineRule="auto"/>
              <w:jc w:val="right"/>
              <w:rPr>
                <w:rFonts w:ascii="Calibri" w:eastAsia="Times New Roman" w:hAnsi="Calibri" w:cs="Arial"/>
                <w:color w:val="000000"/>
                <w:sz w:val="24"/>
                <w:szCs w:val="24"/>
                <w:lang w:eastAsia="en-AU"/>
              </w:rPr>
            </w:pPr>
            <w:r w:rsidRPr="006F2BCD">
              <w:rPr>
                <w:rFonts w:ascii="Calibri" w:eastAsia="Times New Roman" w:hAnsi="Calibri" w:cs="Arial"/>
                <w:color w:val="000000"/>
                <w:sz w:val="24"/>
                <w:szCs w:val="24"/>
                <w:lang w:eastAsia="en-AU"/>
              </w:rPr>
              <w:t xml:space="preserve"> $1,790,193 </w:t>
            </w:r>
          </w:p>
        </w:tc>
        <w:tc>
          <w:tcPr>
            <w:tcW w:w="2316" w:type="dxa"/>
            <w:gridSpan w:val="2"/>
            <w:tcBorders>
              <w:top w:val="single" w:sz="4" w:space="0" w:color="auto"/>
              <w:left w:val="single" w:sz="4" w:space="0" w:color="auto"/>
              <w:bottom w:val="single" w:sz="4" w:space="0" w:color="auto"/>
              <w:right w:val="single" w:sz="4" w:space="0" w:color="auto"/>
            </w:tcBorders>
            <w:shd w:val="clear" w:color="DDEBF7" w:fill="DDEBF7"/>
            <w:noWrap/>
            <w:vAlign w:val="bottom"/>
            <w:hideMark/>
          </w:tcPr>
          <w:p w:rsidR="00106158" w:rsidRPr="006F2BCD" w:rsidRDefault="00106158" w:rsidP="00106158">
            <w:pPr>
              <w:spacing w:after="0" w:line="240" w:lineRule="auto"/>
              <w:jc w:val="right"/>
              <w:rPr>
                <w:rFonts w:ascii="Calibri" w:eastAsia="Times New Roman" w:hAnsi="Calibri" w:cs="Arial"/>
                <w:color w:val="000000"/>
                <w:sz w:val="24"/>
                <w:szCs w:val="24"/>
                <w:lang w:eastAsia="en-AU"/>
              </w:rPr>
            </w:pPr>
            <w:r w:rsidRPr="006F2BCD">
              <w:rPr>
                <w:rFonts w:ascii="Calibri" w:eastAsia="Times New Roman" w:hAnsi="Calibri" w:cs="Arial"/>
                <w:color w:val="000000"/>
                <w:sz w:val="24"/>
                <w:szCs w:val="24"/>
                <w:lang w:eastAsia="en-AU"/>
              </w:rPr>
              <w:t xml:space="preserve"> $ 1,796,499 </w:t>
            </w:r>
          </w:p>
        </w:tc>
      </w:tr>
      <w:tr w:rsidR="00106158" w:rsidRPr="006F2BCD" w:rsidTr="00106158">
        <w:trPr>
          <w:trHeight w:val="261"/>
        </w:trPr>
        <w:tc>
          <w:tcPr>
            <w:tcW w:w="2643" w:type="dxa"/>
            <w:tcBorders>
              <w:top w:val="single" w:sz="4" w:space="0" w:color="auto"/>
              <w:left w:val="single" w:sz="4" w:space="0" w:color="auto"/>
              <w:bottom w:val="single" w:sz="4" w:space="0" w:color="FFFFFF"/>
              <w:right w:val="single" w:sz="4" w:space="0" w:color="auto"/>
            </w:tcBorders>
            <w:shd w:val="clear" w:color="5B9BD5" w:fill="5B9BD5"/>
            <w:noWrap/>
            <w:vAlign w:val="center"/>
            <w:hideMark/>
          </w:tcPr>
          <w:p w:rsidR="00106158" w:rsidRPr="006F2BCD" w:rsidRDefault="00106158" w:rsidP="00106158">
            <w:pPr>
              <w:spacing w:after="0" w:line="240" w:lineRule="auto"/>
              <w:rPr>
                <w:rFonts w:ascii="Calibri" w:eastAsia="Times New Roman" w:hAnsi="Calibri" w:cs="Arial"/>
                <w:b/>
                <w:bCs/>
                <w:color w:val="FFFFFF"/>
                <w:sz w:val="24"/>
                <w:szCs w:val="24"/>
                <w:lang w:eastAsia="en-AU"/>
              </w:rPr>
            </w:pPr>
            <w:r w:rsidRPr="006F2BCD">
              <w:rPr>
                <w:rFonts w:ascii="Calibri" w:eastAsia="Times New Roman" w:hAnsi="Calibri" w:cs="Arial"/>
                <w:b/>
                <w:bCs/>
                <w:color w:val="FFFFFF"/>
                <w:sz w:val="24"/>
                <w:szCs w:val="24"/>
                <w:lang w:eastAsia="en-AU"/>
              </w:rPr>
              <w:t>AE share value</w:t>
            </w:r>
          </w:p>
        </w:tc>
        <w:tc>
          <w:tcPr>
            <w:tcW w:w="2293" w:type="dxa"/>
            <w:gridSpan w:val="2"/>
            <w:tcBorders>
              <w:top w:val="single" w:sz="4" w:space="0" w:color="auto"/>
              <w:left w:val="single" w:sz="4" w:space="0" w:color="auto"/>
              <w:bottom w:val="single" w:sz="4" w:space="0" w:color="FFFFFF"/>
              <w:right w:val="single" w:sz="4" w:space="0" w:color="auto"/>
            </w:tcBorders>
            <w:shd w:val="clear" w:color="DDEBF7" w:fill="DDEBF7"/>
            <w:noWrap/>
            <w:vAlign w:val="bottom"/>
            <w:hideMark/>
          </w:tcPr>
          <w:p w:rsidR="00106158" w:rsidRPr="006F2BCD" w:rsidRDefault="00106158" w:rsidP="00106158">
            <w:pPr>
              <w:spacing w:after="0" w:line="240" w:lineRule="auto"/>
              <w:jc w:val="right"/>
              <w:rPr>
                <w:rFonts w:ascii="Calibri" w:eastAsia="Times New Roman" w:hAnsi="Calibri" w:cs="Arial"/>
                <w:color w:val="000000"/>
                <w:sz w:val="24"/>
                <w:szCs w:val="24"/>
                <w:lang w:eastAsia="en-AU"/>
              </w:rPr>
            </w:pPr>
            <w:r w:rsidRPr="006F2BCD">
              <w:rPr>
                <w:rFonts w:ascii="Calibri" w:eastAsia="Times New Roman" w:hAnsi="Calibri" w:cs="Arial"/>
                <w:color w:val="000000"/>
                <w:sz w:val="24"/>
                <w:szCs w:val="24"/>
                <w:lang w:eastAsia="en-AU"/>
              </w:rPr>
              <w:t xml:space="preserve"> $            0.76 </w:t>
            </w:r>
          </w:p>
        </w:tc>
        <w:tc>
          <w:tcPr>
            <w:tcW w:w="2317" w:type="dxa"/>
            <w:gridSpan w:val="2"/>
            <w:tcBorders>
              <w:top w:val="single" w:sz="4" w:space="0" w:color="auto"/>
              <w:left w:val="single" w:sz="4" w:space="0" w:color="auto"/>
              <w:bottom w:val="single" w:sz="4" w:space="0" w:color="FFFFFF"/>
              <w:right w:val="single" w:sz="4" w:space="0" w:color="auto"/>
            </w:tcBorders>
            <w:shd w:val="clear" w:color="DDEBF7" w:fill="DDEBF7"/>
            <w:noWrap/>
            <w:vAlign w:val="bottom"/>
            <w:hideMark/>
          </w:tcPr>
          <w:p w:rsidR="00106158" w:rsidRPr="006F2BCD" w:rsidRDefault="00106158" w:rsidP="00106158">
            <w:pPr>
              <w:spacing w:after="0" w:line="240" w:lineRule="auto"/>
              <w:jc w:val="right"/>
              <w:rPr>
                <w:rFonts w:ascii="Calibri" w:eastAsia="Times New Roman" w:hAnsi="Calibri" w:cs="Arial"/>
                <w:color w:val="000000"/>
                <w:sz w:val="24"/>
                <w:szCs w:val="24"/>
                <w:lang w:eastAsia="en-AU"/>
              </w:rPr>
            </w:pPr>
            <w:r w:rsidRPr="006F2BCD">
              <w:rPr>
                <w:rFonts w:ascii="Calibri" w:eastAsia="Times New Roman" w:hAnsi="Calibri" w:cs="Arial"/>
                <w:color w:val="000000"/>
                <w:sz w:val="24"/>
                <w:szCs w:val="24"/>
                <w:lang w:eastAsia="en-AU"/>
              </w:rPr>
              <w:t xml:space="preserve"> $           0.76 </w:t>
            </w:r>
          </w:p>
        </w:tc>
        <w:tc>
          <w:tcPr>
            <w:tcW w:w="2316" w:type="dxa"/>
            <w:gridSpan w:val="2"/>
            <w:tcBorders>
              <w:top w:val="single" w:sz="4" w:space="0" w:color="auto"/>
              <w:left w:val="single" w:sz="4" w:space="0" w:color="auto"/>
              <w:bottom w:val="single" w:sz="4" w:space="0" w:color="FFFFFF"/>
              <w:right w:val="single" w:sz="4" w:space="0" w:color="auto"/>
            </w:tcBorders>
            <w:shd w:val="clear" w:color="DDEBF7" w:fill="DDEBF7"/>
            <w:noWrap/>
            <w:vAlign w:val="bottom"/>
            <w:hideMark/>
          </w:tcPr>
          <w:p w:rsidR="00106158" w:rsidRPr="006F2BCD" w:rsidRDefault="00106158" w:rsidP="00106158">
            <w:pPr>
              <w:spacing w:after="0" w:line="240" w:lineRule="auto"/>
              <w:jc w:val="right"/>
              <w:rPr>
                <w:rFonts w:ascii="Calibri" w:eastAsia="Times New Roman" w:hAnsi="Calibri" w:cs="Arial"/>
                <w:color w:val="000000"/>
                <w:sz w:val="24"/>
                <w:szCs w:val="24"/>
                <w:lang w:eastAsia="en-AU"/>
              </w:rPr>
            </w:pPr>
            <w:r w:rsidRPr="006F2BCD">
              <w:rPr>
                <w:rFonts w:ascii="Calibri" w:eastAsia="Times New Roman" w:hAnsi="Calibri" w:cs="Arial"/>
                <w:color w:val="000000"/>
                <w:sz w:val="24"/>
                <w:szCs w:val="24"/>
                <w:lang w:eastAsia="en-AU"/>
              </w:rPr>
              <w:t xml:space="preserve"> $           0.76 </w:t>
            </w:r>
          </w:p>
        </w:tc>
      </w:tr>
      <w:tr w:rsidR="00106158" w:rsidRPr="006F2BCD" w:rsidTr="00106158">
        <w:trPr>
          <w:trHeight w:val="74"/>
        </w:trPr>
        <w:tc>
          <w:tcPr>
            <w:tcW w:w="2643" w:type="dxa"/>
            <w:tcBorders>
              <w:top w:val="single" w:sz="8" w:space="0" w:color="auto"/>
              <w:left w:val="single" w:sz="4" w:space="0" w:color="auto"/>
              <w:bottom w:val="single" w:sz="8" w:space="0" w:color="auto"/>
              <w:right w:val="single" w:sz="4" w:space="0" w:color="auto"/>
            </w:tcBorders>
            <w:shd w:val="clear" w:color="000000" w:fill="AEAAAA"/>
            <w:noWrap/>
            <w:vAlign w:val="center"/>
            <w:hideMark/>
          </w:tcPr>
          <w:p w:rsidR="00106158" w:rsidRPr="006F2BCD" w:rsidRDefault="00106158" w:rsidP="00106158">
            <w:pPr>
              <w:spacing w:after="0" w:line="240" w:lineRule="auto"/>
              <w:rPr>
                <w:rFonts w:ascii="Calibri" w:eastAsia="Times New Roman" w:hAnsi="Calibri" w:cs="Arial"/>
                <w:b/>
                <w:bCs/>
                <w:color w:val="FFFFFF"/>
                <w:sz w:val="24"/>
                <w:szCs w:val="24"/>
                <w:lang w:eastAsia="en-AU"/>
              </w:rPr>
            </w:pPr>
            <w:r w:rsidRPr="006F2BCD">
              <w:rPr>
                <w:rFonts w:ascii="Calibri" w:eastAsia="Times New Roman" w:hAnsi="Calibri" w:cs="Arial"/>
                <w:b/>
                <w:bCs/>
                <w:color w:val="FFFFFF"/>
                <w:sz w:val="24"/>
                <w:szCs w:val="24"/>
                <w:lang w:eastAsia="en-AU"/>
              </w:rPr>
              <w:t> </w:t>
            </w:r>
          </w:p>
        </w:tc>
        <w:tc>
          <w:tcPr>
            <w:tcW w:w="2293" w:type="dxa"/>
            <w:gridSpan w:val="2"/>
            <w:tcBorders>
              <w:top w:val="single" w:sz="8" w:space="0" w:color="auto"/>
              <w:left w:val="single" w:sz="4" w:space="0" w:color="auto"/>
              <w:bottom w:val="single" w:sz="8" w:space="0" w:color="auto"/>
              <w:right w:val="single" w:sz="4" w:space="0" w:color="auto"/>
            </w:tcBorders>
            <w:shd w:val="clear" w:color="000000" w:fill="AEAAAA"/>
            <w:noWrap/>
            <w:vAlign w:val="bottom"/>
            <w:hideMark/>
          </w:tcPr>
          <w:p w:rsidR="00106158" w:rsidRPr="006F2BCD" w:rsidRDefault="00106158" w:rsidP="00106158">
            <w:pPr>
              <w:spacing w:after="0" w:line="240" w:lineRule="auto"/>
              <w:rPr>
                <w:rFonts w:ascii="Calibri" w:eastAsia="Times New Roman" w:hAnsi="Calibri" w:cs="Arial"/>
                <w:color w:val="000000"/>
                <w:sz w:val="24"/>
                <w:szCs w:val="24"/>
                <w:lang w:eastAsia="en-AU"/>
              </w:rPr>
            </w:pPr>
            <w:r w:rsidRPr="006F2BCD">
              <w:rPr>
                <w:rFonts w:ascii="Calibri" w:eastAsia="Times New Roman" w:hAnsi="Calibri" w:cs="Arial"/>
                <w:color w:val="000000"/>
                <w:sz w:val="24"/>
                <w:szCs w:val="24"/>
                <w:lang w:eastAsia="en-AU"/>
              </w:rPr>
              <w:t> </w:t>
            </w:r>
          </w:p>
        </w:tc>
        <w:tc>
          <w:tcPr>
            <w:tcW w:w="2317" w:type="dxa"/>
            <w:gridSpan w:val="2"/>
            <w:tcBorders>
              <w:top w:val="single" w:sz="8" w:space="0" w:color="auto"/>
              <w:left w:val="single" w:sz="4" w:space="0" w:color="auto"/>
              <w:bottom w:val="single" w:sz="8" w:space="0" w:color="auto"/>
              <w:right w:val="single" w:sz="4" w:space="0" w:color="auto"/>
            </w:tcBorders>
            <w:shd w:val="clear" w:color="000000" w:fill="AEAAAA"/>
            <w:noWrap/>
            <w:vAlign w:val="bottom"/>
            <w:hideMark/>
          </w:tcPr>
          <w:p w:rsidR="00106158" w:rsidRPr="006F2BCD" w:rsidRDefault="00106158" w:rsidP="00106158">
            <w:pPr>
              <w:spacing w:after="0" w:line="240" w:lineRule="auto"/>
              <w:rPr>
                <w:rFonts w:ascii="Calibri" w:eastAsia="Times New Roman" w:hAnsi="Calibri" w:cs="Arial"/>
                <w:color w:val="000000"/>
                <w:sz w:val="24"/>
                <w:szCs w:val="24"/>
                <w:lang w:eastAsia="en-AU"/>
              </w:rPr>
            </w:pPr>
            <w:r w:rsidRPr="006F2BCD">
              <w:rPr>
                <w:rFonts w:ascii="Calibri" w:eastAsia="Times New Roman" w:hAnsi="Calibri" w:cs="Arial"/>
                <w:color w:val="000000"/>
                <w:sz w:val="24"/>
                <w:szCs w:val="24"/>
                <w:lang w:eastAsia="en-AU"/>
              </w:rPr>
              <w:t> </w:t>
            </w:r>
          </w:p>
        </w:tc>
        <w:tc>
          <w:tcPr>
            <w:tcW w:w="2316" w:type="dxa"/>
            <w:gridSpan w:val="2"/>
            <w:tcBorders>
              <w:top w:val="single" w:sz="8" w:space="0" w:color="auto"/>
              <w:left w:val="single" w:sz="4" w:space="0" w:color="auto"/>
              <w:bottom w:val="single" w:sz="8" w:space="0" w:color="auto"/>
              <w:right w:val="single" w:sz="4" w:space="0" w:color="auto"/>
            </w:tcBorders>
            <w:shd w:val="clear" w:color="000000" w:fill="AEAAAA"/>
            <w:noWrap/>
            <w:vAlign w:val="bottom"/>
            <w:hideMark/>
          </w:tcPr>
          <w:p w:rsidR="00106158" w:rsidRPr="006F2BCD" w:rsidRDefault="00106158" w:rsidP="00106158">
            <w:pPr>
              <w:spacing w:after="0" w:line="240" w:lineRule="auto"/>
              <w:rPr>
                <w:rFonts w:ascii="Calibri" w:eastAsia="Times New Roman" w:hAnsi="Calibri" w:cs="Arial"/>
                <w:color w:val="000000"/>
                <w:sz w:val="24"/>
                <w:szCs w:val="24"/>
                <w:lang w:eastAsia="en-AU"/>
              </w:rPr>
            </w:pPr>
            <w:r w:rsidRPr="006F2BCD">
              <w:rPr>
                <w:rFonts w:ascii="Calibri" w:eastAsia="Times New Roman" w:hAnsi="Calibri" w:cs="Arial"/>
                <w:color w:val="000000"/>
                <w:sz w:val="24"/>
                <w:szCs w:val="24"/>
                <w:lang w:eastAsia="en-AU"/>
              </w:rPr>
              <w:t> </w:t>
            </w:r>
          </w:p>
        </w:tc>
      </w:tr>
      <w:tr w:rsidR="00106158" w:rsidRPr="006F2BCD" w:rsidTr="00106158">
        <w:trPr>
          <w:trHeight w:val="261"/>
        </w:trPr>
        <w:tc>
          <w:tcPr>
            <w:tcW w:w="2643" w:type="dxa"/>
            <w:tcBorders>
              <w:top w:val="single" w:sz="4" w:space="0" w:color="FFFFFF"/>
              <w:left w:val="single" w:sz="4" w:space="0" w:color="auto"/>
              <w:bottom w:val="single" w:sz="4" w:space="0" w:color="auto"/>
              <w:right w:val="single" w:sz="4" w:space="0" w:color="auto"/>
            </w:tcBorders>
            <w:shd w:val="clear" w:color="5B9BD5" w:fill="5B9BD5"/>
            <w:noWrap/>
            <w:vAlign w:val="center"/>
            <w:hideMark/>
          </w:tcPr>
          <w:p w:rsidR="00106158" w:rsidRPr="006F2BCD" w:rsidRDefault="00106158" w:rsidP="00106158">
            <w:pPr>
              <w:spacing w:after="0" w:line="240" w:lineRule="auto"/>
              <w:rPr>
                <w:rFonts w:ascii="Calibri" w:eastAsia="Times New Roman" w:hAnsi="Calibri" w:cs="Arial"/>
                <w:b/>
                <w:bCs/>
                <w:color w:val="FFFFFF"/>
                <w:sz w:val="24"/>
                <w:szCs w:val="24"/>
                <w:lang w:eastAsia="en-AU"/>
              </w:rPr>
            </w:pPr>
            <w:r w:rsidRPr="006F2BCD">
              <w:rPr>
                <w:rFonts w:ascii="Calibri" w:eastAsia="Times New Roman" w:hAnsi="Calibri" w:cs="Arial"/>
                <w:b/>
                <w:bCs/>
                <w:color w:val="FFFFFF"/>
                <w:sz w:val="24"/>
                <w:szCs w:val="24"/>
                <w:lang w:eastAsia="en-AU"/>
              </w:rPr>
              <w:lastRenderedPageBreak/>
              <w:t>Estimated value</w:t>
            </w:r>
          </w:p>
        </w:tc>
        <w:tc>
          <w:tcPr>
            <w:tcW w:w="2293" w:type="dxa"/>
            <w:gridSpan w:val="2"/>
            <w:tcBorders>
              <w:top w:val="single" w:sz="4" w:space="0" w:color="FFFFFF"/>
              <w:left w:val="single" w:sz="4" w:space="0" w:color="auto"/>
              <w:bottom w:val="single" w:sz="4" w:space="0" w:color="auto"/>
              <w:right w:val="single" w:sz="4" w:space="0" w:color="auto"/>
            </w:tcBorders>
            <w:shd w:val="clear" w:color="DDEBF7" w:fill="DDEBF7"/>
            <w:noWrap/>
            <w:vAlign w:val="bottom"/>
            <w:hideMark/>
          </w:tcPr>
          <w:p w:rsidR="00106158" w:rsidRPr="006F2BCD" w:rsidRDefault="00106158" w:rsidP="00106158">
            <w:pPr>
              <w:spacing w:after="0" w:line="240" w:lineRule="auto"/>
              <w:jc w:val="right"/>
              <w:rPr>
                <w:rFonts w:ascii="Calibri" w:eastAsia="Times New Roman" w:hAnsi="Calibri" w:cs="Arial"/>
                <w:b/>
                <w:bCs/>
                <w:color w:val="000000"/>
                <w:sz w:val="24"/>
                <w:szCs w:val="24"/>
                <w:lang w:eastAsia="en-AU"/>
              </w:rPr>
            </w:pPr>
            <w:r w:rsidRPr="006F2BCD">
              <w:rPr>
                <w:rFonts w:ascii="Calibri" w:eastAsia="Times New Roman" w:hAnsi="Calibri" w:cs="Arial"/>
                <w:b/>
                <w:bCs/>
                <w:color w:val="000000"/>
                <w:sz w:val="24"/>
                <w:szCs w:val="24"/>
                <w:lang w:eastAsia="en-AU"/>
              </w:rPr>
              <w:t xml:space="preserve"> $            0.76 </w:t>
            </w:r>
          </w:p>
        </w:tc>
        <w:tc>
          <w:tcPr>
            <w:tcW w:w="2317" w:type="dxa"/>
            <w:gridSpan w:val="2"/>
            <w:tcBorders>
              <w:top w:val="single" w:sz="4" w:space="0" w:color="FFFFFF"/>
              <w:left w:val="single" w:sz="4" w:space="0" w:color="auto"/>
              <w:bottom w:val="single" w:sz="4" w:space="0" w:color="auto"/>
              <w:right w:val="single" w:sz="4" w:space="0" w:color="auto"/>
            </w:tcBorders>
            <w:shd w:val="clear" w:color="DDEBF7" w:fill="DDEBF7"/>
            <w:noWrap/>
            <w:vAlign w:val="bottom"/>
            <w:hideMark/>
          </w:tcPr>
          <w:p w:rsidR="00106158" w:rsidRPr="006F2BCD" w:rsidRDefault="00106158" w:rsidP="00106158">
            <w:pPr>
              <w:spacing w:after="0" w:line="240" w:lineRule="auto"/>
              <w:jc w:val="right"/>
              <w:rPr>
                <w:rFonts w:ascii="Calibri" w:eastAsia="Times New Roman" w:hAnsi="Calibri" w:cs="Arial"/>
                <w:b/>
                <w:bCs/>
                <w:color w:val="000000"/>
                <w:sz w:val="24"/>
                <w:szCs w:val="24"/>
                <w:lang w:eastAsia="en-AU"/>
              </w:rPr>
            </w:pPr>
            <w:r w:rsidRPr="006F2BCD">
              <w:rPr>
                <w:rFonts w:ascii="Calibri" w:eastAsia="Times New Roman" w:hAnsi="Calibri" w:cs="Arial"/>
                <w:b/>
                <w:bCs/>
                <w:color w:val="000000"/>
                <w:sz w:val="24"/>
                <w:szCs w:val="24"/>
                <w:lang w:eastAsia="en-AU"/>
              </w:rPr>
              <w:t xml:space="preserve"> $           0.75 </w:t>
            </w:r>
          </w:p>
        </w:tc>
        <w:tc>
          <w:tcPr>
            <w:tcW w:w="2316" w:type="dxa"/>
            <w:gridSpan w:val="2"/>
            <w:tcBorders>
              <w:top w:val="single" w:sz="4" w:space="0" w:color="FFFFFF"/>
              <w:left w:val="single" w:sz="4" w:space="0" w:color="auto"/>
              <w:bottom w:val="single" w:sz="4" w:space="0" w:color="auto"/>
              <w:right w:val="single" w:sz="4" w:space="0" w:color="auto"/>
            </w:tcBorders>
            <w:shd w:val="clear" w:color="DDEBF7" w:fill="DDEBF7"/>
            <w:noWrap/>
            <w:vAlign w:val="bottom"/>
            <w:hideMark/>
          </w:tcPr>
          <w:p w:rsidR="00106158" w:rsidRPr="006F2BCD" w:rsidRDefault="00106158" w:rsidP="00106158">
            <w:pPr>
              <w:spacing w:after="0" w:line="240" w:lineRule="auto"/>
              <w:jc w:val="right"/>
              <w:rPr>
                <w:rFonts w:ascii="Calibri" w:eastAsia="Times New Roman" w:hAnsi="Calibri" w:cs="Arial"/>
                <w:b/>
                <w:bCs/>
                <w:color w:val="000000"/>
                <w:sz w:val="24"/>
                <w:szCs w:val="24"/>
                <w:lang w:eastAsia="en-AU"/>
              </w:rPr>
            </w:pPr>
            <w:r w:rsidRPr="006F2BCD">
              <w:rPr>
                <w:rFonts w:ascii="Calibri" w:eastAsia="Times New Roman" w:hAnsi="Calibri" w:cs="Arial"/>
                <w:b/>
                <w:bCs/>
                <w:color w:val="000000"/>
                <w:sz w:val="24"/>
                <w:szCs w:val="24"/>
                <w:lang w:eastAsia="en-AU"/>
              </w:rPr>
              <w:t xml:space="preserve"> $           0.77 </w:t>
            </w:r>
          </w:p>
        </w:tc>
      </w:tr>
      <w:tr w:rsidR="00106158" w:rsidRPr="006F2BCD" w:rsidTr="00106158">
        <w:trPr>
          <w:trHeight w:val="410"/>
        </w:trPr>
        <w:tc>
          <w:tcPr>
            <w:tcW w:w="2643" w:type="dxa"/>
            <w:tcBorders>
              <w:top w:val="single" w:sz="4" w:space="0" w:color="auto"/>
              <w:left w:val="single" w:sz="4" w:space="0" w:color="auto"/>
              <w:bottom w:val="single" w:sz="4" w:space="0" w:color="auto"/>
              <w:right w:val="single" w:sz="4" w:space="0" w:color="auto"/>
            </w:tcBorders>
            <w:shd w:val="clear" w:color="5B9BD5" w:fill="5B9BD5"/>
            <w:vAlign w:val="center"/>
          </w:tcPr>
          <w:p w:rsidR="00106158" w:rsidRPr="006F2BCD" w:rsidRDefault="00106158" w:rsidP="00106158">
            <w:pPr>
              <w:spacing w:after="0" w:line="240" w:lineRule="auto"/>
              <w:jc w:val="center"/>
              <w:rPr>
                <w:rFonts w:ascii="Calibri" w:eastAsia="Times New Roman" w:hAnsi="Calibri" w:cs="Arial"/>
                <w:b/>
                <w:bCs/>
                <w:color w:val="FFFFFF"/>
                <w:sz w:val="24"/>
                <w:szCs w:val="24"/>
                <w:lang w:eastAsia="en-AU"/>
              </w:rPr>
            </w:pPr>
            <w:r w:rsidRPr="006F2BCD">
              <w:rPr>
                <w:rFonts w:ascii="Calibri" w:eastAsia="Times New Roman" w:hAnsi="Calibri" w:cs="Arial"/>
                <w:b/>
                <w:bCs/>
                <w:color w:val="FFFFFF"/>
                <w:sz w:val="24"/>
                <w:szCs w:val="24"/>
                <w:lang w:eastAsia="en-AU"/>
              </w:rPr>
              <w:t>Sensitivity Analysis</w:t>
            </w:r>
          </w:p>
        </w:tc>
        <w:tc>
          <w:tcPr>
            <w:tcW w:w="1830" w:type="dxa"/>
            <w:tcBorders>
              <w:top w:val="single" w:sz="4" w:space="0" w:color="auto"/>
              <w:left w:val="single" w:sz="4" w:space="0" w:color="auto"/>
              <w:bottom w:val="single" w:sz="4" w:space="0" w:color="auto"/>
              <w:right w:val="single" w:sz="4" w:space="0" w:color="auto"/>
            </w:tcBorders>
            <w:shd w:val="clear" w:color="5B9BD5" w:fill="5B9BD5"/>
            <w:noWrap/>
            <w:vAlign w:val="center"/>
            <w:hideMark/>
          </w:tcPr>
          <w:p w:rsidR="00106158" w:rsidRPr="006F2BCD" w:rsidRDefault="00106158" w:rsidP="00106158">
            <w:pPr>
              <w:spacing w:after="0" w:line="240" w:lineRule="auto"/>
              <w:jc w:val="center"/>
              <w:rPr>
                <w:rFonts w:ascii="Calibri" w:eastAsia="Times New Roman" w:hAnsi="Calibri" w:cs="Arial"/>
                <w:b/>
                <w:bCs/>
                <w:color w:val="FFFFFF"/>
                <w:sz w:val="24"/>
                <w:szCs w:val="24"/>
                <w:lang w:eastAsia="en-AU"/>
              </w:rPr>
            </w:pPr>
            <w:r w:rsidRPr="006F2BCD">
              <w:rPr>
                <w:rFonts w:ascii="Calibri" w:eastAsia="Times New Roman" w:hAnsi="Calibri" w:cs="Arial"/>
                <w:b/>
                <w:bCs/>
                <w:color w:val="FFFFFF"/>
                <w:sz w:val="24"/>
                <w:szCs w:val="24"/>
                <w:lang w:eastAsia="en-AU"/>
              </w:rPr>
              <w:t>Downside2</w:t>
            </w:r>
          </w:p>
        </w:tc>
        <w:tc>
          <w:tcPr>
            <w:tcW w:w="1698" w:type="dxa"/>
            <w:gridSpan w:val="2"/>
            <w:tcBorders>
              <w:top w:val="single" w:sz="4" w:space="0" w:color="auto"/>
              <w:left w:val="single" w:sz="4" w:space="0" w:color="auto"/>
              <w:bottom w:val="single" w:sz="4" w:space="0" w:color="auto"/>
              <w:right w:val="single" w:sz="4" w:space="0" w:color="auto"/>
            </w:tcBorders>
            <w:shd w:val="clear" w:color="5B9BD5" w:fill="5B9BD5"/>
            <w:noWrap/>
            <w:vAlign w:val="center"/>
            <w:hideMark/>
          </w:tcPr>
          <w:p w:rsidR="00106158" w:rsidRPr="006F2BCD" w:rsidRDefault="00106158" w:rsidP="00106158">
            <w:pPr>
              <w:spacing w:after="0" w:line="240" w:lineRule="auto"/>
              <w:jc w:val="center"/>
              <w:rPr>
                <w:rFonts w:ascii="Calibri" w:eastAsia="Times New Roman" w:hAnsi="Calibri" w:cs="Arial"/>
                <w:b/>
                <w:bCs/>
                <w:color w:val="FFFFFF"/>
                <w:sz w:val="24"/>
                <w:szCs w:val="24"/>
                <w:lang w:eastAsia="en-AU"/>
              </w:rPr>
            </w:pPr>
            <w:r w:rsidRPr="006F2BCD">
              <w:rPr>
                <w:rFonts w:ascii="Calibri" w:eastAsia="Times New Roman" w:hAnsi="Calibri" w:cs="Arial"/>
                <w:b/>
                <w:bCs/>
                <w:color w:val="FFFFFF"/>
                <w:sz w:val="24"/>
                <w:szCs w:val="24"/>
                <w:lang w:eastAsia="en-AU"/>
              </w:rPr>
              <w:t>Upside2</w:t>
            </w:r>
          </w:p>
        </w:tc>
        <w:tc>
          <w:tcPr>
            <w:tcW w:w="1699" w:type="dxa"/>
            <w:gridSpan w:val="2"/>
            <w:tcBorders>
              <w:top w:val="single" w:sz="4" w:space="0" w:color="auto"/>
              <w:left w:val="single" w:sz="4" w:space="0" w:color="auto"/>
              <w:bottom w:val="single" w:sz="4" w:space="0" w:color="auto"/>
              <w:right w:val="single" w:sz="4" w:space="0" w:color="auto"/>
            </w:tcBorders>
            <w:shd w:val="clear" w:color="5B9BD5" w:fill="5B9BD5"/>
            <w:noWrap/>
            <w:vAlign w:val="center"/>
            <w:hideMark/>
          </w:tcPr>
          <w:p w:rsidR="00106158" w:rsidRPr="006F2BCD" w:rsidRDefault="00106158" w:rsidP="00106158">
            <w:pPr>
              <w:spacing w:after="0" w:line="240" w:lineRule="auto"/>
              <w:jc w:val="center"/>
              <w:rPr>
                <w:rFonts w:ascii="Calibri" w:eastAsia="Times New Roman" w:hAnsi="Calibri" w:cs="Arial"/>
                <w:b/>
                <w:bCs/>
                <w:color w:val="FFFFFF"/>
                <w:sz w:val="24"/>
                <w:szCs w:val="24"/>
                <w:lang w:eastAsia="en-AU"/>
              </w:rPr>
            </w:pPr>
            <w:r w:rsidRPr="006F2BCD">
              <w:rPr>
                <w:rFonts w:ascii="Calibri" w:eastAsia="Times New Roman" w:hAnsi="Calibri" w:cs="Arial"/>
                <w:b/>
                <w:bCs/>
                <w:color w:val="FFFFFF"/>
                <w:sz w:val="24"/>
                <w:szCs w:val="24"/>
                <w:lang w:eastAsia="en-AU"/>
              </w:rPr>
              <w:t>Downside3</w:t>
            </w:r>
          </w:p>
        </w:tc>
        <w:tc>
          <w:tcPr>
            <w:tcW w:w="1699" w:type="dxa"/>
            <w:tcBorders>
              <w:top w:val="single" w:sz="4" w:space="0" w:color="auto"/>
              <w:left w:val="single" w:sz="4" w:space="0" w:color="auto"/>
              <w:bottom w:val="single" w:sz="4" w:space="0" w:color="auto"/>
              <w:right w:val="single" w:sz="4" w:space="0" w:color="auto"/>
            </w:tcBorders>
            <w:shd w:val="clear" w:color="5B9BD5" w:fill="5B9BD5"/>
            <w:noWrap/>
            <w:vAlign w:val="center"/>
            <w:hideMark/>
          </w:tcPr>
          <w:p w:rsidR="00106158" w:rsidRPr="006F2BCD" w:rsidRDefault="00106158" w:rsidP="00106158">
            <w:pPr>
              <w:spacing w:after="0" w:line="240" w:lineRule="auto"/>
              <w:jc w:val="center"/>
              <w:rPr>
                <w:rFonts w:ascii="Calibri" w:eastAsia="Times New Roman" w:hAnsi="Calibri" w:cs="Arial"/>
                <w:b/>
                <w:bCs/>
                <w:color w:val="FFFFFF"/>
                <w:sz w:val="24"/>
                <w:szCs w:val="24"/>
                <w:lang w:eastAsia="en-AU"/>
              </w:rPr>
            </w:pPr>
            <w:r w:rsidRPr="006F2BCD">
              <w:rPr>
                <w:rFonts w:ascii="Calibri" w:eastAsia="Times New Roman" w:hAnsi="Calibri" w:cs="Arial"/>
                <w:b/>
                <w:bCs/>
                <w:color w:val="FFFFFF"/>
                <w:sz w:val="24"/>
                <w:szCs w:val="24"/>
                <w:lang w:eastAsia="en-AU"/>
              </w:rPr>
              <w:t>Upside3</w:t>
            </w:r>
          </w:p>
        </w:tc>
      </w:tr>
      <w:tr w:rsidR="00106158" w:rsidRPr="006F2BCD" w:rsidTr="00106158">
        <w:trPr>
          <w:trHeight w:val="248"/>
        </w:trPr>
        <w:tc>
          <w:tcPr>
            <w:tcW w:w="2643" w:type="dxa"/>
            <w:tcBorders>
              <w:top w:val="single" w:sz="4" w:space="0" w:color="auto"/>
              <w:left w:val="single" w:sz="4" w:space="0" w:color="auto"/>
              <w:bottom w:val="single" w:sz="4" w:space="0" w:color="auto"/>
              <w:right w:val="single" w:sz="4" w:space="0" w:color="auto"/>
            </w:tcBorders>
            <w:shd w:val="clear" w:color="auto" w:fill="5B9BD5" w:themeFill="accent1"/>
            <w:vAlign w:val="center"/>
          </w:tcPr>
          <w:p w:rsidR="00106158" w:rsidRPr="006F2BCD" w:rsidRDefault="00106158" w:rsidP="00106158">
            <w:pPr>
              <w:spacing w:after="0" w:line="240" w:lineRule="auto"/>
              <w:rPr>
                <w:rFonts w:ascii="Calibri" w:eastAsia="Times New Roman" w:hAnsi="Calibri" w:cs="Arial"/>
                <w:b/>
                <w:bCs/>
                <w:color w:val="FFFFFF"/>
                <w:sz w:val="24"/>
                <w:szCs w:val="24"/>
                <w:lang w:eastAsia="en-AU"/>
              </w:rPr>
            </w:pPr>
            <w:r w:rsidRPr="006F2BCD">
              <w:rPr>
                <w:rFonts w:ascii="Calibri" w:eastAsia="Times New Roman" w:hAnsi="Calibri" w:cs="Arial"/>
                <w:b/>
                <w:bCs/>
                <w:color w:val="FFFFFF"/>
                <w:sz w:val="24"/>
                <w:szCs w:val="24"/>
                <w:lang w:eastAsia="en-AU"/>
              </w:rPr>
              <w:t>Terminal Growth Rate</w:t>
            </w:r>
          </w:p>
        </w:tc>
        <w:tc>
          <w:tcPr>
            <w:tcW w:w="1830"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rsidR="00106158" w:rsidRPr="006F2BCD" w:rsidRDefault="00106158" w:rsidP="00106158">
            <w:pPr>
              <w:spacing w:after="0" w:line="240" w:lineRule="auto"/>
              <w:jc w:val="right"/>
              <w:rPr>
                <w:rFonts w:ascii="Calibri" w:eastAsia="Times New Roman" w:hAnsi="Calibri" w:cs="Arial"/>
                <w:color w:val="000000"/>
                <w:sz w:val="24"/>
                <w:szCs w:val="24"/>
                <w:lang w:eastAsia="en-AU"/>
              </w:rPr>
            </w:pPr>
            <w:r w:rsidRPr="006F2BCD">
              <w:rPr>
                <w:rFonts w:ascii="Calibri" w:eastAsia="Times New Roman" w:hAnsi="Calibri" w:cs="Arial"/>
                <w:color w:val="000000"/>
                <w:sz w:val="24"/>
                <w:szCs w:val="24"/>
                <w:lang w:eastAsia="en-AU"/>
              </w:rPr>
              <w:t>1.225%</w:t>
            </w:r>
          </w:p>
        </w:tc>
        <w:tc>
          <w:tcPr>
            <w:tcW w:w="1698" w:type="dxa"/>
            <w:gridSpan w:val="2"/>
            <w:tcBorders>
              <w:top w:val="single" w:sz="4" w:space="0" w:color="auto"/>
              <w:left w:val="single" w:sz="4" w:space="0" w:color="auto"/>
              <w:bottom w:val="single" w:sz="4" w:space="0" w:color="auto"/>
              <w:right w:val="single" w:sz="4" w:space="0" w:color="auto"/>
            </w:tcBorders>
            <w:shd w:val="clear" w:color="DDEBF7" w:fill="DDEBF7"/>
            <w:noWrap/>
            <w:vAlign w:val="bottom"/>
            <w:hideMark/>
          </w:tcPr>
          <w:p w:rsidR="00106158" w:rsidRPr="006F2BCD" w:rsidRDefault="00106158" w:rsidP="00106158">
            <w:pPr>
              <w:spacing w:after="0" w:line="240" w:lineRule="auto"/>
              <w:jc w:val="right"/>
              <w:rPr>
                <w:rFonts w:ascii="Calibri" w:eastAsia="Times New Roman" w:hAnsi="Calibri" w:cs="Arial"/>
                <w:color w:val="000000"/>
                <w:sz w:val="24"/>
                <w:szCs w:val="24"/>
                <w:lang w:eastAsia="en-AU"/>
              </w:rPr>
            </w:pPr>
            <w:r w:rsidRPr="006F2BCD">
              <w:rPr>
                <w:rFonts w:ascii="Calibri" w:eastAsia="Times New Roman" w:hAnsi="Calibri" w:cs="Arial"/>
                <w:color w:val="000000"/>
                <w:sz w:val="24"/>
                <w:szCs w:val="24"/>
                <w:lang w:eastAsia="en-AU"/>
              </w:rPr>
              <w:t>1.225%</w:t>
            </w:r>
          </w:p>
        </w:tc>
        <w:tc>
          <w:tcPr>
            <w:tcW w:w="1699" w:type="dxa"/>
            <w:gridSpan w:val="2"/>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106158" w:rsidRPr="006F2BCD" w:rsidRDefault="00106158" w:rsidP="00106158">
            <w:pPr>
              <w:spacing w:after="0" w:line="240" w:lineRule="auto"/>
              <w:jc w:val="right"/>
              <w:rPr>
                <w:rFonts w:ascii="Calibri" w:eastAsia="Times New Roman" w:hAnsi="Calibri" w:cs="Arial"/>
                <w:color w:val="000000"/>
                <w:sz w:val="24"/>
                <w:szCs w:val="24"/>
                <w:lang w:eastAsia="en-AU"/>
              </w:rPr>
            </w:pPr>
            <w:r w:rsidRPr="006F2BCD">
              <w:rPr>
                <w:rFonts w:ascii="Calibri" w:eastAsia="Times New Roman" w:hAnsi="Calibri" w:cs="Arial"/>
                <w:color w:val="000000"/>
                <w:sz w:val="24"/>
                <w:szCs w:val="24"/>
                <w:lang w:eastAsia="en-AU"/>
              </w:rPr>
              <w:t>1%</w:t>
            </w:r>
          </w:p>
        </w:tc>
        <w:tc>
          <w:tcPr>
            <w:tcW w:w="1699"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106158" w:rsidRPr="006F2BCD" w:rsidRDefault="00106158" w:rsidP="00106158">
            <w:pPr>
              <w:spacing w:after="0" w:line="240" w:lineRule="auto"/>
              <w:jc w:val="right"/>
              <w:rPr>
                <w:rFonts w:ascii="Calibri" w:eastAsia="Times New Roman" w:hAnsi="Calibri" w:cs="Arial"/>
                <w:color w:val="000000"/>
                <w:sz w:val="24"/>
                <w:szCs w:val="24"/>
                <w:lang w:eastAsia="en-AU"/>
              </w:rPr>
            </w:pPr>
            <w:r w:rsidRPr="006F2BCD">
              <w:rPr>
                <w:rFonts w:ascii="Calibri" w:eastAsia="Times New Roman" w:hAnsi="Calibri" w:cs="Arial"/>
                <w:color w:val="000000"/>
                <w:sz w:val="24"/>
                <w:szCs w:val="24"/>
                <w:lang w:eastAsia="en-AU"/>
              </w:rPr>
              <w:t>1.5%</w:t>
            </w:r>
          </w:p>
        </w:tc>
      </w:tr>
      <w:tr w:rsidR="00106158" w:rsidRPr="006F2BCD" w:rsidTr="00106158">
        <w:trPr>
          <w:trHeight w:val="248"/>
        </w:trPr>
        <w:tc>
          <w:tcPr>
            <w:tcW w:w="2643" w:type="dxa"/>
            <w:tcBorders>
              <w:top w:val="nil"/>
              <w:left w:val="single" w:sz="4" w:space="0" w:color="auto"/>
              <w:bottom w:val="single" w:sz="4" w:space="0" w:color="auto"/>
              <w:right w:val="single" w:sz="4" w:space="0" w:color="auto"/>
            </w:tcBorders>
            <w:shd w:val="clear" w:color="auto" w:fill="5B9BD5" w:themeFill="accent1"/>
            <w:vAlign w:val="center"/>
          </w:tcPr>
          <w:p w:rsidR="00106158" w:rsidRPr="006F2BCD" w:rsidRDefault="00106158" w:rsidP="00106158">
            <w:pPr>
              <w:spacing w:after="0" w:line="240" w:lineRule="auto"/>
              <w:rPr>
                <w:rFonts w:ascii="Calibri" w:eastAsia="Times New Roman" w:hAnsi="Calibri" w:cs="Arial"/>
                <w:b/>
                <w:bCs/>
                <w:color w:val="FFFFFF"/>
                <w:sz w:val="24"/>
                <w:szCs w:val="24"/>
                <w:lang w:eastAsia="en-AU"/>
              </w:rPr>
            </w:pPr>
            <w:r w:rsidRPr="006F2BCD">
              <w:rPr>
                <w:rFonts w:ascii="Calibri" w:eastAsia="Times New Roman" w:hAnsi="Calibri" w:cs="Arial"/>
                <w:b/>
                <w:bCs/>
                <w:color w:val="FFFFFF"/>
                <w:sz w:val="24"/>
                <w:szCs w:val="24"/>
                <w:lang w:eastAsia="en-AU"/>
              </w:rPr>
              <w:t>Cost of equity</w:t>
            </w:r>
          </w:p>
        </w:tc>
        <w:tc>
          <w:tcPr>
            <w:tcW w:w="1830" w:type="dxa"/>
            <w:tcBorders>
              <w:top w:val="nil"/>
              <w:left w:val="single" w:sz="4" w:space="0" w:color="auto"/>
              <w:bottom w:val="single" w:sz="4" w:space="0" w:color="auto"/>
              <w:right w:val="single" w:sz="4" w:space="0" w:color="auto"/>
            </w:tcBorders>
            <w:shd w:val="clear" w:color="000000" w:fill="FFFF00"/>
            <w:noWrap/>
            <w:vAlign w:val="center"/>
            <w:hideMark/>
          </w:tcPr>
          <w:p w:rsidR="00106158" w:rsidRPr="006F2BCD" w:rsidRDefault="00106158" w:rsidP="00106158">
            <w:pPr>
              <w:spacing w:after="0" w:line="240" w:lineRule="auto"/>
              <w:jc w:val="right"/>
              <w:rPr>
                <w:rFonts w:ascii="Calibri" w:eastAsia="Times New Roman" w:hAnsi="Calibri" w:cs="Arial"/>
                <w:color w:val="000000"/>
                <w:sz w:val="24"/>
                <w:szCs w:val="24"/>
                <w:lang w:eastAsia="en-AU"/>
              </w:rPr>
            </w:pPr>
            <w:r w:rsidRPr="006F2BCD">
              <w:rPr>
                <w:rFonts w:ascii="Calibri" w:eastAsia="Times New Roman" w:hAnsi="Calibri" w:cs="Arial"/>
                <w:color w:val="000000"/>
                <w:sz w:val="24"/>
                <w:szCs w:val="24"/>
                <w:lang w:eastAsia="en-AU"/>
              </w:rPr>
              <w:t>12%</w:t>
            </w:r>
          </w:p>
        </w:tc>
        <w:tc>
          <w:tcPr>
            <w:tcW w:w="1698" w:type="dxa"/>
            <w:gridSpan w:val="2"/>
            <w:tcBorders>
              <w:top w:val="nil"/>
              <w:left w:val="nil"/>
              <w:bottom w:val="single" w:sz="4" w:space="0" w:color="auto"/>
              <w:right w:val="single" w:sz="4" w:space="0" w:color="auto"/>
            </w:tcBorders>
            <w:shd w:val="clear" w:color="000000" w:fill="FFFF00"/>
            <w:noWrap/>
            <w:vAlign w:val="center"/>
            <w:hideMark/>
          </w:tcPr>
          <w:p w:rsidR="00106158" w:rsidRPr="006F2BCD" w:rsidRDefault="00106158" w:rsidP="00106158">
            <w:pPr>
              <w:spacing w:after="0" w:line="240" w:lineRule="auto"/>
              <w:jc w:val="right"/>
              <w:rPr>
                <w:rFonts w:ascii="Calibri" w:eastAsia="Times New Roman" w:hAnsi="Calibri" w:cs="Arial"/>
                <w:color w:val="000000"/>
                <w:sz w:val="24"/>
                <w:szCs w:val="24"/>
                <w:lang w:eastAsia="en-AU"/>
              </w:rPr>
            </w:pPr>
            <w:r w:rsidRPr="006F2BCD">
              <w:rPr>
                <w:rFonts w:ascii="Calibri" w:eastAsia="Times New Roman" w:hAnsi="Calibri" w:cs="Arial"/>
                <w:color w:val="000000"/>
                <w:sz w:val="24"/>
                <w:szCs w:val="24"/>
                <w:lang w:eastAsia="en-AU"/>
              </w:rPr>
              <w:t>10%</w:t>
            </w:r>
          </w:p>
        </w:tc>
        <w:tc>
          <w:tcPr>
            <w:tcW w:w="1699" w:type="dxa"/>
            <w:gridSpan w:val="2"/>
            <w:tcBorders>
              <w:top w:val="nil"/>
              <w:left w:val="nil"/>
              <w:bottom w:val="single" w:sz="4" w:space="0" w:color="auto"/>
              <w:right w:val="single" w:sz="4" w:space="0" w:color="auto"/>
            </w:tcBorders>
            <w:shd w:val="clear" w:color="000000" w:fill="FFFF00"/>
            <w:noWrap/>
            <w:vAlign w:val="center"/>
            <w:hideMark/>
          </w:tcPr>
          <w:p w:rsidR="00106158" w:rsidRPr="006F2BCD" w:rsidRDefault="00106158" w:rsidP="00106158">
            <w:pPr>
              <w:spacing w:after="0" w:line="240" w:lineRule="auto"/>
              <w:jc w:val="right"/>
              <w:rPr>
                <w:rFonts w:ascii="Calibri" w:eastAsia="Times New Roman" w:hAnsi="Calibri" w:cs="Arial"/>
                <w:color w:val="000000"/>
                <w:sz w:val="24"/>
                <w:szCs w:val="24"/>
                <w:lang w:eastAsia="en-AU"/>
              </w:rPr>
            </w:pPr>
            <w:r w:rsidRPr="006F2BCD">
              <w:rPr>
                <w:rFonts w:ascii="Calibri" w:eastAsia="Times New Roman" w:hAnsi="Calibri" w:cs="Arial"/>
                <w:color w:val="000000"/>
                <w:sz w:val="24"/>
                <w:szCs w:val="24"/>
                <w:lang w:eastAsia="en-AU"/>
              </w:rPr>
              <w:t>12%</w:t>
            </w:r>
          </w:p>
        </w:tc>
        <w:tc>
          <w:tcPr>
            <w:tcW w:w="1699"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106158" w:rsidRPr="006F2BCD" w:rsidRDefault="00106158" w:rsidP="00106158">
            <w:pPr>
              <w:spacing w:after="0" w:line="240" w:lineRule="auto"/>
              <w:jc w:val="right"/>
              <w:rPr>
                <w:rFonts w:ascii="Calibri" w:eastAsia="Times New Roman" w:hAnsi="Calibri" w:cs="Arial"/>
                <w:color w:val="000000"/>
                <w:sz w:val="24"/>
                <w:szCs w:val="24"/>
                <w:lang w:eastAsia="en-AU"/>
              </w:rPr>
            </w:pPr>
            <w:r w:rsidRPr="006F2BCD">
              <w:rPr>
                <w:rFonts w:ascii="Calibri" w:eastAsia="Times New Roman" w:hAnsi="Calibri" w:cs="Arial"/>
                <w:color w:val="000000"/>
                <w:sz w:val="24"/>
                <w:szCs w:val="24"/>
                <w:lang w:eastAsia="en-AU"/>
              </w:rPr>
              <w:t>10%</w:t>
            </w:r>
          </w:p>
        </w:tc>
      </w:tr>
      <w:tr w:rsidR="00106158" w:rsidRPr="006F2BCD" w:rsidTr="00106158">
        <w:trPr>
          <w:trHeight w:val="248"/>
        </w:trPr>
        <w:tc>
          <w:tcPr>
            <w:tcW w:w="2643" w:type="dxa"/>
            <w:tcBorders>
              <w:top w:val="single" w:sz="4" w:space="0" w:color="auto"/>
              <w:left w:val="single" w:sz="4" w:space="0" w:color="auto"/>
              <w:bottom w:val="single" w:sz="4" w:space="0" w:color="auto"/>
              <w:right w:val="single" w:sz="4" w:space="0" w:color="auto"/>
            </w:tcBorders>
            <w:shd w:val="clear" w:color="auto" w:fill="5B9BD5" w:themeFill="accent1"/>
            <w:vAlign w:val="center"/>
          </w:tcPr>
          <w:p w:rsidR="00106158" w:rsidRPr="006F2BCD" w:rsidRDefault="00106158" w:rsidP="00106158">
            <w:pPr>
              <w:spacing w:after="0" w:line="240" w:lineRule="auto"/>
              <w:rPr>
                <w:rFonts w:ascii="Calibri" w:eastAsia="Times New Roman" w:hAnsi="Calibri" w:cs="Arial"/>
                <w:b/>
                <w:bCs/>
                <w:color w:val="FFFFFF"/>
                <w:sz w:val="24"/>
                <w:szCs w:val="24"/>
                <w:lang w:eastAsia="en-AU"/>
              </w:rPr>
            </w:pPr>
            <w:r w:rsidRPr="006F2BCD">
              <w:rPr>
                <w:rFonts w:ascii="Calibri" w:eastAsia="Times New Roman" w:hAnsi="Calibri" w:cs="Arial"/>
                <w:b/>
                <w:bCs/>
                <w:color w:val="FFFFFF"/>
                <w:sz w:val="24"/>
                <w:szCs w:val="24"/>
                <w:lang w:eastAsia="en-AU"/>
              </w:rPr>
              <w:t>Sum of PV of FCFs</w:t>
            </w:r>
          </w:p>
        </w:tc>
        <w:tc>
          <w:tcPr>
            <w:tcW w:w="183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106158" w:rsidRPr="006F2BCD" w:rsidRDefault="00106158" w:rsidP="00106158">
            <w:pPr>
              <w:spacing w:after="0" w:line="240" w:lineRule="auto"/>
              <w:jc w:val="right"/>
              <w:rPr>
                <w:rFonts w:ascii="Calibri" w:eastAsia="Times New Roman" w:hAnsi="Calibri" w:cs="Arial"/>
                <w:color w:val="000000"/>
                <w:sz w:val="24"/>
                <w:szCs w:val="24"/>
                <w:lang w:eastAsia="en-AU"/>
              </w:rPr>
            </w:pPr>
            <w:r w:rsidRPr="006F2BCD">
              <w:rPr>
                <w:rFonts w:ascii="Calibri" w:eastAsia="Times New Roman" w:hAnsi="Calibri" w:cs="Arial"/>
                <w:color w:val="000000"/>
                <w:sz w:val="24"/>
                <w:szCs w:val="24"/>
                <w:lang w:eastAsia="en-AU"/>
              </w:rPr>
              <w:t xml:space="preserve"> $     517,304 </w:t>
            </w:r>
          </w:p>
        </w:tc>
        <w:tc>
          <w:tcPr>
            <w:tcW w:w="1698" w:type="dxa"/>
            <w:gridSpan w:val="2"/>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106158" w:rsidRPr="006F2BCD" w:rsidRDefault="00106158" w:rsidP="00106158">
            <w:pPr>
              <w:spacing w:after="0" w:line="240" w:lineRule="auto"/>
              <w:jc w:val="right"/>
              <w:rPr>
                <w:rFonts w:ascii="Calibri" w:eastAsia="Times New Roman" w:hAnsi="Calibri" w:cs="Arial"/>
                <w:color w:val="000000"/>
                <w:sz w:val="24"/>
                <w:szCs w:val="24"/>
                <w:lang w:eastAsia="en-AU"/>
              </w:rPr>
            </w:pPr>
            <w:r w:rsidRPr="006F2BCD">
              <w:rPr>
                <w:rFonts w:ascii="Calibri" w:eastAsia="Times New Roman" w:hAnsi="Calibri" w:cs="Arial"/>
                <w:color w:val="000000"/>
                <w:sz w:val="24"/>
                <w:szCs w:val="24"/>
                <w:lang w:eastAsia="en-AU"/>
              </w:rPr>
              <w:t xml:space="preserve"> $    546,879 </w:t>
            </w:r>
          </w:p>
        </w:tc>
        <w:tc>
          <w:tcPr>
            <w:tcW w:w="1699" w:type="dxa"/>
            <w:gridSpan w:val="2"/>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106158" w:rsidRPr="006F2BCD" w:rsidRDefault="00106158" w:rsidP="00106158">
            <w:pPr>
              <w:spacing w:after="0" w:line="240" w:lineRule="auto"/>
              <w:jc w:val="right"/>
              <w:rPr>
                <w:rFonts w:ascii="Calibri" w:eastAsia="Times New Roman" w:hAnsi="Calibri" w:cs="Arial"/>
                <w:color w:val="000000"/>
                <w:sz w:val="24"/>
                <w:szCs w:val="24"/>
                <w:lang w:eastAsia="en-AU"/>
              </w:rPr>
            </w:pPr>
            <w:r w:rsidRPr="006F2BCD">
              <w:rPr>
                <w:rFonts w:ascii="Calibri" w:eastAsia="Times New Roman" w:hAnsi="Calibri" w:cs="Arial"/>
                <w:color w:val="000000"/>
                <w:sz w:val="24"/>
                <w:szCs w:val="24"/>
                <w:lang w:eastAsia="en-AU"/>
              </w:rPr>
              <w:t xml:space="preserve"> $    517,304 </w:t>
            </w:r>
          </w:p>
        </w:tc>
        <w:tc>
          <w:tcPr>
            <w:tcW w:w="1699"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106158" w:rsidRPr="006F2BCD" w:rsidRDefault="00106158" w:rsidP="00106158">
            <w:pPr>
              <w:spacing w:after="0" w:line="240" w:lineRule="auto"/>
              <w:jc w:val="right"/>
              <w:rPr>
                <w:rFonts w:ascii="Calibri" w:eastAsia="Times New Roman" w:hAnsi="Calibri" w:cs="Arial"/>
                <w:color w:val="000000"/>
                <w:sz w:val="24"/>
                <w:szCs w:val="24"/>
                <w:lang w:eastAsia="en-AU"/>
              </w:rPr>
            </w:pPr>
            <w:r w:rsidRPr="006F2BCD">
              <w:rPr>
                <w:rFonts w:ascii="Calibri" w:eastAsia="Times New Roman" w:hAnsi="Calibri" w:cs="Arial"/>
                <w:color w:val="000000"/>
                <w:sz w:val="24"/>
                <w:szCs w:val="24"/>
                <w:lang w:eastAsia="en-AU"/>
              </w:rPr>
              <w:t xml:space="preserve"> $     546,879 </w:t>
            </w:r>
          </w:p>
        </w:tc>
      </w:tr>
      <w:tr w:rsidR="00106158" w:rsidRPr="006F2BCD" w:rsidTr="00106158">
        <w:trPr>
          <w:trHeight w:val="248"/>
        </w:trPr>
        <w:tc>
          <w:tcPr>
            <w:tcW w:w="2643" w:type="dxa"/>
            <w:tcBorders>
              <w:top w:val="single" w:sz="4" w:space="0" w:color="auto"/>
              <w:left w:val="single" w:sz="4" w:space="0" w:color="auto"/>
              <w:bottom w:val="single" w:sz="4" w:space="0" w:color="auto"/>
              <w:right w:val="single" w:sz="4" w:space="0" w:color="auto"/>
            </w:tcBorders>
            <w:shd w:val="clear" w:color="auto" w:fill="5B9BD5" w:themeFill="accent1"/>
            <w:vAlign w:val="center"/>
          </w:tcPr>
          <w:p w:rsidR="00106158" w:rsidRPr="006F2BCD" w:rsidRDefault="00106158" w:rsidP="00106158">
            <w:pPr>
              <w:spacing w:after="0" w:line="240" w:lineRule="auto"/>
              <w:rPr>
                <w:rFonts w:ascii="Calibri" w:eastAsia="Times New Roman" w:hAnsi="Calibri" w:cs="Arial"/>
                <w:b/>
                <w:bCs/>
                <w:color w:val="FFFFFF"/>
                <w:sz w:val="24"/>
                <w:szCs w:val="24"/>
                <w:lang w:eastAsia="en-AU"/>
              </w:rPr>
            </w:pPr>
            <w:r w:rsidRPr="006F2BCD">
              <w:rPr>
                <w:rFonts w:ascii="Calibri" w:eastAsia="Times New Roman" w:hAnsi="Calibri" w:cs="Arial"/>
                <w:b/>
                <w:bCs/>
                <w:color w:val="FFFFFF"/>
                <w:sz w:val="24"/>
                <w:szCs w:val="24"/>
                <w:lang w:eastAsia="en-AU"/>
              </w:rPr>
              <w:t>TV of FCF</w:t>
            </w:r>
          </w:p>
        </w:tc>
        <w:tc>
          <w:tcPr>
            <w:tcW w:w="1830"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rsidR="00106158" w:rsidRPr="006F2BCD" w:rsidRDefault="00106158" w:rsidP="00106158">
            <w:pPr>
              <w:spacing w:after="0" w:line="240" w:lineRule="auto"/>
              <w:jc w:val="right"/>
              <w:rPr>
                <w:rFonts w:ascii="Calibri" w:eastAsia="Times New Roman" w:hAnsi="Calibri" w:cs="Arial"/>
                <w:color w:val="000000"/>
                <w:sz w:val="24"/>
                <w:szCs w:val="24"/>
                <w:lang w:eastAsia="en-AU"/>
              </w:rPr>
            </w:pPr>
            <w:r w:rsidRPr="006F2BCD">
              <w:rPr>
                <w:rFonts w:ascii="Calibri" w:eastAsia="Times New Roman" w:hAnsi="Calibri" w:cs="Arial"/>
                <w:color w:val="000000"/>
                <w:sz w:val="24"/>
                <w:szCs w:val="24"/>
                <w:lang w:eastAsia="en-AU"/>
              </w:rPr>
              <w:t xml:space="preserve"> $  1,068,444 </w:t>
            </w:r>
          </w:p>
        </w:tc>
        <w:tc>
          <w:tcPr>
            <w:tcW w:w="1698" w:type="dxa"/>
            <w:gridSpan w:val="2"/>
            <w:tcBorders>
              <w:top w:val="single" w:sz="4" w:space="0" w:color="auto"/>
              <w:left w:val="single" w:sz="4" w:space="0" w:color="auto"/>
              <w:bottom w:val="single" w:sz="4" w:space="0" w:color="auto"/>
              <w:right w:val="single" w:sz="4" w:space="0" w:color="auto"/>
            </w:tcBorders>
            <w:shd w:val="clear" w:color="DDEBF7" w:fill="DDEBF7"/>
            <w:noWrap/>
            <w:vAlign w:val="bottom"/>
            <w:hideMark/>
          </w:tcPr>
          <w:p w:rsidR="00106158" w:rsidRPr="006F2BCD" w:rsidRDefault="00106158" w:rsidP="00106158">
            <w:pPr>
              <w:spacing w:after="0" w:line="240" w:lineRule="auto"/>
              <w:jc w:val="right"/>
              <w:rPr>
                <w:rFonts w:ascii="Calibri" w:eastAsia="Times New Roman" w:hAnsi="Calibri" w:cs="Arial"/>
                <w:color w:val="000000"/>
                <w:sz w:val="24"/>
                <w:szCs w:val="24"/>
                <w:lang w:eastAsia="en-AU"/>
              </w:rPr>
            </w:pPr>
            <w:r w:rsidRPr="006F2BCD">
              <w:rPr>
                <w:rFonts w:ascii="Calibri" w:eastAsia="Times New Roman" w:hAnsi="Calibri" w:cs="Arial"/>
                <w:color w:val="000000"/>
                <w:sz w:val="24"/>
                <w:szCs w:val="24"/>
                <w:lang w:eastAsia="en-AU"/>
              </w:rPr>
              <w:t xml:space="preserve"> $1,435,650 </w:t>
            </w:r>
          </w:p>
        </w:tc>
        <w:tc>
          <w:tcPr>
            <w:tcW w:w="1699" w:type="dxa"/>
            <w:gridSpan w:val="2"/>
            <w:tcBorders>
              <w:top w:val="single" w:sz="4" w:space="0" w:color="auto"/>
              <w:left w:val="single" w:sz="4" w:space="0" w:color="auto"/>
              <w:bottom w:val="single" w:sz="4" w:space="0" w:color="auto"/>
              <w:right w:val="single" w:sz="4" w:space="0" w:color="auto"/>
            </w:tcBorders>
            <w:shd w:val="clear" w:color="DDEBF7" w:fill="DDEBF7"/>
            <w:noWrap/>
            <w:vAlign w:val="bottom"/>
            <w:hideMark/>
          </w:tcPr>
          <w:p w:rsidR="00106158" w:rsidRPr="006F2BCD" w:rsidRDefault="00106158" w:rsidP="00106158">
            <w:pPr>
              <w:spacing w:after="0" w:line="240" w:lineRule="auto"/>
              <w:jc w:val="right"/>
              <w:rPr>
                <w:rFonts w:ascii="Calibri" w:eastAsia="Times New Roman" w:hAnsi="Calibri" w:cs="Arial"/>
                <w:color w:val="000000"/>
                <w:sz w:val="24"/>
                <w:szCs w:val="24"/>
                <w:lang w:eastAsia="en-AU"/>
              </w:rPr>
            </w:pPr>
            <w:r w:rsidRPr="006F2BCD">
              <w:rPr>
                <w:rFonts w:ascii="Calibri" w:eastAsia="Times New Roman" w:hAnsi="Calibri" w:cs="Arial"/>
                <w:color w:val="000000"/>
                <w:sz w:val="24"/>
                <w:szCs w:val="24"/>
                <w:lang w:eastAsia="en-AU"/>
              </w:rPr>
              <w:t xml:space="preserve"> $ 1,044,263 </w:t>
            </w:r>
          </w:p>
        </w:tc>
        <w:tc>
          <w:tcPr>
            <w:tcW w:w="1699"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rsidR="00106158" w:rsidRPr="006F2BCD" w:rsidRDefault="00106158" w:rsidP="00106158">
            <w:pPr>
              <w:spacing w:after="0" w:line="240" w:lineRule="auto"/>
              <w:jc w:val="right"/>
              <w:rPr>
                <w:rFonts w:ascii="Calibri" w:eastAsia="Times New Roman" w:hAnsi="Calibri" w:cs="Arial"/>
                <w:color w:val="000000"/>
                <w:sz w:val="24"/>
                <w:szCs w:val="24"/>
                <w:lang w:eastAsia="en-AU"/>
              </w:rPr>
            </w:pPr>
            <w:r w:rsidRPr="006F2BCD">
              <w:rPr>
                <w:rFonts w:ascii="Calibri" w:eastAsia="Times New Roman" w:hAnsi="Calibri" w:cs="Arial"/>
                <w:color w:val="000000"/>
                <w:sz w:val="24"/>
                <w:szCs w:val="24"/>
                <w:lang w:eastAsia="en-AU"/>
              </w:rPr>
              <w:t xml:space="preserve"> $  1,486,124 </w:t>
            </w:r>
          </w:p>
        </w:tc>
      </w:tr>
      <w:tr w:rsidR="00106158" w:rsidRPr="006F2BCD" w:rsidTr="00106158">
        <w:trPr>
          <w:trHeight w:val="248"/>
        </w:trPr>
        <w:tc>
          <w:tcPr>
            <w:tcW w:w="2643" w:type="dxa"/>
            <w:tcBorders>
              <w:top w:val="single" w:sz="4" w:space="0" w:color="auto"/>
              <w:left w:val="single" w:sz="4" w:space="0" w:color="auto"/>
              <w:bottom w:val="single" w:sz="4" w:space="0" w:color="auto"/>
              <w:right w:val="single" w:sz="4" w:space="0" w:color="auto"/>
            </w:tcBorders>
            <w:shd w:val="clear" w:color="auto" w:fill="5B9BD5" w:themeFill="accent1"/>
            <w:vAlign w:val="center"/>
          </w:tcPr>
          <w:p w:rsidR="00106158" w:rsidRPr="006F2BCD" w:rsidRDefault="00106158" w:rsidP="00106158">
            <w:pPr>
              <w:spacing w:after="0" w:line="240" w:lineRule="auto"/>
              <w:rPr>
                <w:rFonts w:ascii="Calibri" w:eastAsia="Times New Roman" w:hAnsi="Calibri" w:cs="Arial"/>
                <w:b/>
                <w:bCs/>
                <w:color w:val="FFFFFF"/>
                <w:sz w:val="24"/>
                <w:szCs w:val="24"/>
                <w:lang w:eastAsia="en-AU"/>
              </w:rPr>
            </w:pPr>
            <w:r w:rsidRPr="006F2BCD">
              <w:rPr>
                <w:rFonts w:ascii="Calibri" w:eastAsia="Times New Roman" w:hAnsi="Calibri" w:cs="Arial"/>
                <w:b/>
                <w:bCs/>
                <w:color w:val="FFFFFF"/>
                <w:sz w:val="24"/>
                <w:szCs w:val="24"/>
                <w:lang w:eastAsia="en-AU"/>
              </w:rPr>
              <w:t>Equity Value</w:t>
            </w:r>
          </w:p>
        </w:tc>
        <w:tc>
          <w:tcPr>
            <w:tcW w:w="1830"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rsidR="00106158" w:rsidRPr="006F2BCD" w:rsidRDefault="00106158" w:rsidP="00106158">
            <w:pPr>
              <w:spacing w:after="0" w:line="240" w:lineRule="auto"/>
              <w:jc w:val="right"/>
              <w:rPr>
                <w:rFonts w:ascii="Calibri" w:eastAsia="Times New Roman" w:hAnsi="Calibri" w:cs="Arial"/>
                <w:color w:val="000000"/>
                <w:sz w:val="24"/>
                <w:szCs w:val="24"/>
                <w:lang w:eastAsia="en-AU"/>
              </w:rPr>
            </w:pPr>
            <w:r w:rsidRPr="006F2BCD">
              <w:rPr>
                <w:rFonts w:ascii="Calibri" w:eastAsia="Times New Roman" w:hAnsi="Calibri" w:cs="Arial"/>
                <w:color w:val="000000"/>
                <w:sz w:val="24"/>
                <w:szCs w:val="24"/>
                <w:lang w:eastAsia="en-AU"/>
              </w:rPr>
              <w:t xml:space="preserve"> $  1,585,748 </w:t>
            </w:r>
          </w:p>
        </w:tc>
        <w:tc>
          <w:tcPr>
            <w:tcW w:w="1698" w:type="dxa"/>
            <w:gridSpan w:val="2"/>
            <w:tcBorders>
              <w:top w:val="single" w:sz="4" w:space="0" w:color="auto"/>
              <w:left w:val="single" w:sz="4" w:space="0" w:color="auto"/>
              <w:bottom w:val="single" w:sz="4" w:space="0" w:color="auto"/>
              <w:right w:val="single" w:sz="4" w:space="0" w:color="auto"/>
            </w:tcBorders>
            <w:shd w:val="clear" w:color="DDEBF7" w:fill="DDEBF7"/>
            <w:noWrap/>
            <w:vAlign w:val="bottom"/>
            <w:hideMark/>
          </w:tcPr>
          <w:p w:rsidR="00106158" w:rsidRPr="006F2BCD" w:rsidRDefault="00106158" w:rsidP="00106158">
            <w:pPr>
              <w:spacing w:after="0" w:line="240" w:lineRule="auto"/>
              <w:jc w:val="right"/>
              <w:rPr>
                <w:rFonts w:ascii="Calibri" w:eastAsia="Times New Roman" w:hAnsi="Calibri" w:cs="Arial"/>
                <w:color w:val="000000"/>
                <w:sz w:val="24"/>
                <w:szCs w:val="24"/>
                <w:lang w:eastAsia="en-AU"/>
              </w:rPr>
            </w:pPr>
            <w:r w:rsidRPr="006F2BCD">
              <w:rPr>
                <w:rFonts w:ascii="Calibri" w:eastAsia="Times New Roman" w:hAnsi="Calibri" w:cs="Arial"/>
                <w:color w:val="000000"/>
                <w:sz w:val="24"/>
                <w:szCs w:val="24"/>
                <w:lang w:eastAsia="en-AU"/>
              </w:rPr>
              <w:t xml:space="preserve"> $1,982,529 </w:t>
            </w:r>
          </w:p>
        </w:tc>
        <w:tc>
          <w:tcPr>
            <w:tcW w:w="1699" w:type="dxa"/>
            <w:gridSpan w:val="2"/>
            <w:tcBorders>
              <w:top w:val="single" w:sz="4" w:space="0" w:color="auto"/>
              <w:left w:val="single" w:sz="4" w:space="0" w:color="auto"/>
              <w:bottom w:val="single" w:sz="4" w:space="0" w:color="auto"/>
              <w:right w:val="single" w:sz="4" w:space="0" w:color="auto"/>
            </w:tcBorders>
            <w:shd w:val="clear" w:color="DDEBF7" w:fill="DDEBF7"/>
            <w:noWrap/>
            <w:vAlign w:val="bottom"/>
            <w:hideMark/>
          </w:tcPr>
          <w:p w:rsidR="00106158" w:rsidRPr="006F2BCD" w:rsidRDefault="00106158" w:rsidP="00106158">
            <w:pPr>
              <w:spacing w:after="0" w:line="240" w:lineRule="auto"/>
              <w:jc w:val="right"/>
              <w:rPr>
                <w:rFonts w:ascii="Calibri" w:eastAsia="Times New Roman" w:hAnsi="Calibri" w:cs="Arial"/>
                <w:color w:val="000000"/>
                <w:sz w:val="24"/>
                <w:szCs w:val="24"/>
                <w:lang w:eastAsia="en-AU"/>
              </w:rPr>
            </w:pPr>
            <w:r w:rsidRPr="006F2BCD">
              <w:rPr>
                <w:rFonts w:ascii="Calibri" w:eastAsia="Times New Roman" w:hAnsi="Calibri" w:cs="Arial"/>
                <w:color w:val="000000"/>
                <w:sz w:val="24"/>
                <w:szCs w:val="24"/>
                <w:lang w:eastAsia="en-AU"/>
              </w:rPr>
              <w:t xml:space="preserve"> $ 1,561,567 </w:t>
            </w:r>
          </w:p>
        </w:tc>
        <w:tc>
          <w:tcPr>
            <w:tcW w:w="1699"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rsidR="00106158" w:rsidRPr="006F2BCD" w:rsidRDefault="00106158" w:rsidP="00106158">
            <w:pPr>
              <w:spacing w:after="0" w:line="240" w:lineRule="auto"/>
              <w:jc w:val="right"/>
              <w:rPr>
                <w:rFonts w:ascii="Calibri" w:eastAsia="Times New Roman" w:hAnsi="Calibri" w:cs="Arial"/>
                <w:color w:val="000000"/>
                <w:sz w:val="24"/>
                <w:szCs w:val="24"/>
                <w:lang w:eastAsia="en-AU"/>
              </w:rPr>
            </w:pPr>
            <w:r w:rsidRPr="006F2BCD">
              <w:rPr>
                <w:rFonts w:ascii="Calibri" w:eastAsia="Times New Roman" w:hAnsi="Calibri" w:cs="Arial"/>
                <w:color w:val="000000"/>
                <w:sz w:val="24"/>
                <w:szCs w:val="24"/>
                <w:lang w:eastAsia="en-AU"/>
              </w:rPr>
              <w:t xml:space="preserve"> $  2,033,003 </w:t>
            </w:r>
          </w:p>
        </w:tc>
      </w:tr>
      <w:tr w:rsidR="00106158" w:rsidRPr="006F2BCD" w:rsidTr="00106158">
        <w:trPr>
          <w:trHeight w:val="261"/>
        </w:trPr>
        <w:tc>
          <w:tcPr>
            <w:tcW w:w="2643" w:type="dxa"/>
            <w:tcBorders>
              <w:top w:val="single" w:sz="4" w:space="0" w:color="auto"/>
              <w:left w:val="single" w:sz="4" w:space="0" w:color="auto"/>
              <w:bottom w:val="single" w:sz="4" w:space="0" w:color="FFFFFF"/>
              <w:right w:val="single" w:sz="4" w:space="0" w:color="auto"/>
            </w:tcBorders>
            <w:shd w:val="clear" w:color="auto" w:fill="5B9BD5" w:themeFill="accent1"/>
            <w:vAlign w:val="center"/>
          </w:tcPr>
          <w:p w:rsidR="00106158" w:rsidRPr="006F2BCD" w:rsidRDefault="00106158" w:rsidP="00106158">
            <w:pPr>
              <w:spacing w:after="0" w:line="240" w:lineRule="auto"/>
              <w:rPr>
                <w:rFonts w:ascii="Calibri" w:eastAsia="Times New Roman" w:hAnsi="Calibri" w:cs="Arial"/>
                <w:b/>
                <w:bCs/>
                <w:color w:val="FFFFFF"/>
                <w:sz w:val="24"/>
                <w:szCs w:val="24"/>
                <w:lang w:eastAsia="en-AU"/>
              </w:rPr>
            </w:pPr>
            <w:r w:rsidRPr="006F2BCD">
              <w:rPr>
                <w:rFonts w:ascii="Calibri" w:eastAsia="Times New Roman" w:hAnsi="Calibri" w:cs="Arial"/>
                <w:b/>
                <w:bCs/>
                <w:color w:val="FFFFFF"/>
                <w:sz w:val="24"/>
                <w:szCs w:val="24"/>
                <w:lang w:eastAsia="en-AU"/>
              </w:rPr>
              <w:t>FCF share value</w:t>
            </w:r>
          </w:p>
        </w:tc>
        <w:tc>
          <w:tcPr>
            <w:tcW w:w="1830" w:type="dxa"/>
            <w:tcBorders>
              <w:top w:val="single" w:sz="4" w:space="0" w:color="auto"/>
              <w:left w:val="single" w:sz="4" w:space="0" w:color="auto"/>
              <w:bottom w:val="single" w:sz="4" w:space="0" w:color="FFFFFF"/>
              <w:right w:val="single" w:sz="4" w:space="0" w:color="auto"/>
            </w:tcBorders>
            <w:shd w:val="clear" w:color="DDEBF7" w:fill="DDEBF7"/>
            <w:noWrap/>
            <w:vAlign w:val="bottom"/>
            <w:hideMark/>
          </w:tcPr>
          <w:p w:rsidR="00106158" w:rsidRPr="006F2BCD" w:rsidRDefault="00106158" w:rsidP="00106158">
            <w:pPr>
              <w:spacing w:after="0" w:line="240" w:lineRule="auto"/>
              <w:jc w:val="right"/>
              <w:rPr>
                <w:rFonts w:ascii="Calibri" w:eastAsia="Times New Roman" w:hAnsi="Calibri" w:cs="Arial"/>
                <w:color w:val="000000"/>
                <w:sz w:val="24"/>
                <w:szCs w:val="24"/>
                <w:lang w:eastAsia="en-AU"/>
              </w:rPr>
            </w:pPr>
            <w:r w:rsidRPr="006F2BCD">
              <w:rPr>
                <w:rFonts w:ascii="Calibri" w:eastAsia="Times New Roman" w:hAnsi="Calibri" w:cs="Arial"/>
                <w:color w:val="000000"/>
                <w:sz w:val="24"/>
                <w:szCs w:val="24"/>
                <w:lang w:eastAsia="en-AU"/>
              </w:rPr>
              <w:t xml:space="preserve"> $            0.67 </w:t>
            </w:r>
          </w:p>
        </w:tc>
        <w:tc>
          <w:tcPr>
            <w:tcW w:w="1698" w:type="dxa"/>
            <w:gridSpan w:val="2"/>
            <w:tcBorders>
              <w:top w:val="single" w:sz="4" w:space="0" w:color="auto"/>
              <w:left w:val="single" w:sz="4" w:space="0" w:color="auto"/>
              <w:bottom w:val="single" w:sz="4" w:space="0" w:color="FFFFFF"/>
              <w:right w:val="single" w:sz="4" w:space="0" w:color="auto"/>
            </w:tcBorders>
            <w:shd w:val="clear" w:color="DDEBF7" w:fill="DDEBF7"/>
            <w:noWrap/>
            <w:vAlign w:val="bottom"/>
            <w:hideMark/>
          </w:tcPr>
          <w:p w:rsidR="00106158" w:rsidRPr="006F2BCD" w:rsidRDefault="00106158" w:rsidP="00106158">
            <w:pPr>
              <w:spacing w:after="0" w:line="240" w:lineRule="auto"/>
              <w:jc w:val="right"/>
              <w:rPr>
                <w:rFonts w:ascii="Calibri" w:eastAsia="Times New Roman" w:hAnsi="Calibri" w:cs="Arial"/>
                <w:color w:val="000000"/>
                <w:sz w:val="24"/>
                <w:szCs w:val="24"/>
                <w:lang w:eastAsia="en-AU"/>
              </w:rPr>
            </w:pPr>
            <w:r w:rsidRPr="006F2BCD">
              <w:rPr>
                <w:rFonts w:ascii="Calibri" w:eastAsia="Times New Roman" w:hAnsi="Calibri" w:cs="Arial"/>
                <w:color w:val="000000"/>
                <w:sz w:val="24"/>
                <w:szCs w:val="24"/>
                <w:lang w:eastAsia="en-AU"/>
              </w:rPr>
              <w:t xml:space="preserve"> $           0.84 </w:t>
            </w:r>
          </w:p>
        </w:tc>
        <w:tc>
          <w:tcPr>
            <w:tcW w:w="1699" w:type="dxa"/>
            <w:gridSpan w:val="2"/>
            <w:tcBorders>
              <w:top w:val="single" w:sz="4" w:space="0" w:color="auto"/>
              <w:left w:val="single" w:sz="4" w:space="0" w:color="auto"/>
              <w:bottom w:val="single" w:sz="4" w:space="0" w:color="FFFFFF"/>
              <w:right w:val="single" w:sz="4" w:space="0" w:color="auto"/>
            </w:tcBorders>
            <w:shd w:val="clear" w:color="DDEBF7" w:fill="DDEBF7"/>
            <w:noWrap/>
            <w:vAlign w:val="bottom"/>
            <w:hideMark/>
          </w:tcPr>
          <w:p w:rsidR="00106158" w:rsidRPr="006F2BCD" w:rsidRDefault="00106158" w:rsidP="00106158">
            <w:pPr>
              <w:spacing w:after="0" w:line="240" w:lineRule="auto"/>
              <w:jc w:val="right"/>
              <w:rPr>
                <w:rFonts w:ascii="Calibri" w:eastAsia="Times New Roman" w:hAnsi="Calibri" w:cs="Arial"/>
                <w:color w:val="000000"/>
                <w:sz w:val="24"/>
                <w:szCs w:val="24"/>
                <w:lang w:eastAsia="en-AU"/>
              </w:rPr>
            </w:pPr>
            <w:r w:rsidRPr="006F2BCD">
              <w:rPr>
                <w:rFonts w:ascii="Calibri" w:eastAsia="Times New Roman" w:hAnsi="Calibri" w:cs="Arial"/>
                <w:color w:val="000000"/>
                <w:sz w:val="24"/>
                <w:szCs w:val="24"/>
                <w:lang w:eastAsia="en-AU"/>
              </w:rPr>
              <w:t xml:space="preserve"> $           0.66 </w:t>
            </w:r>
          </w:p>
        </w:tc>
        <w:tc>
          <w:tcPr>
            <w:tcW w:w="1699" w:type="dxa"/>
            <w:tcBorders>
              <w:top w:val="single" w:sz="4" w:space="0" w:color="auto"/>
              <w:left w:val="single" w:sz="4" w:space="0" w:color="auto"/>
              <w:bottom w:val="single" w:sz="4" w:space="0" w:color="FFFFFF"/>
              <w:right w:val="single" w:sz="4" w:space="0" w:color="auto"/>
            </w:tcBorders>
            <w:shd w:val="clear" w:color="DDEBF7" w:fill="DDEBF7"/>
            <w:noWrap/>
            <w:vAlign w:val="bottom"/>
            <w:hideMark/>
          </w:tcPr>
          <w:p w:rsidR="00106158" w:rsidRPr="006F2BCD" w:rsidRDefault="00106158" w:rsidP="00106158">
            <w:pPr>
              <w:spacing w:after="0" w:line="240" w:lineRule="auto"/>
              <w:jc w:val="right"/>
              <w:rPr>
                <w:rFonts w:ascii="Calibri" w:eastAsia="Times New Roman" w:hAnsi="Calibri" w:cs="Arial"/>
                <w:color w:val="000000"/>
                <w:sz w:val="24"/>
                <w:szCs w:val="24"/>
                <w:lang w:eastAsia="en-AU"/>
              </w:rPr>
            </w:pPr>
            <w:r w:rsidRPr="006F2BCD">
              <w:rPr>
                <w:rFonts w:ascii="Calibri" w:eastAsia="Times New Roman" w:hAnsi="Calibri" w:cs="Arial"/>
                <w:color w:val="000000"/>
                <w:sz w:val="24"/>
                <w:szCs w:val="24"/>
                <w:lang w:eastAsia="en-AU"/>
              </w:rPr>
              <w:t xml:space="preserve"> $            0.86 </w:t>
            </w:r>
          </w:p>
        </w:tc>
      </w:tr>
      <w:tr w:rsidR="00106158" w:rsidRPr="006F2BCD" w:rsidTr="00106158">
        <w:trPr>
          <w:trHeight w:val="87"/>
        </w:trPr>
        <w:tc>
          <w:tcPr>
            <w:tcW w:w="2643" w:type="dxa"/>
            <w:tcBorders>
              <w:top w:val="single" w:sz="8" w:space="0" w:color="auto"/>
              <w:left w:val="single" w:sz="4" w:space="0" w:color="auto"/>
              <w:bottom w:val="single" w:sz="8" w:space="0" w:color="auto"/>
              <w:right w:val="single" w:sz="4" w:space="0" w:color="auto"/>
            </w:tcBorders>
            <w:shd w:val="clear" w:color="000000" w:fill="AEAAAA"/>
            <w:vAlign w:val="center"/>
          </w:tcPr>
          <w:p w:rsidR="00106158" w:rsidRPr="006F2BCD" w:rsidRDefault="00106158" w:rsidP="00106158">
            <w:pPr>
              <w:spacing w:after="0" w:line="240" w:lineRule="auto"/>
              <w:rPr>
                <w:rFonts w:ascii="Calibri" w:eastAsia="Times New Roman" w:hAnsi="Calibri" w:cs="Arial"/>
                <w:b/>
                <w:bCs/>
                <w:color w:val="FFFFFF"/>
                <w:sz w:val="24"/>
                <w:szCs w:val="24"/>
                <w:lang w:eastAsia="en-AU"/>
              </w:rPr>
            </w:pPr>
            <w:r w:rsidRPr="006F2BCD">
              <w:rPr>
                <w:rFonts w:ascii="Calibri" w:eastAsia="Times New Roman" w:hAnsi="Calibri" w:cs="Arial"/>
                <w:b/>
                <w:bCs/>
                <w:color w:val="FFFFFF"/>
                <w:sz w:val="24"/>
                <w:szCs w:val="24"/>
                <w:lang w:eastAsia="en-AU"/>
              </w:rPr>
              <w:t> </w:t>
            </w:r>
          </w:p>
        </w:tc>
        <w:tc>
          <w:tcPr>
            <w:tcW w:w="1830" w:type="dxa"/>
            <w:tcBorders>
              <w:top w:val="single" w:sz="8" w:space="0" w:color="auto"/>
              <w:left w:val="single" w:sz="4" w:space="0" w:color="auto"/>
              <w:bottom w:val="single" w:sz="8" w:space="0" w:color="auto"/>
              <w:right w:val="single" w:sz="4" w:space="0" w:color="auto"/>
            </w:tcBorders>
            <w:shd w:val="clear" w:color="000000" w:fill="AEAAAA"/>
            <w:noWrap/>
            <w:vAlign w:val="bottom"/>
            <w:hideMark/>
          </w:tcPr>
          <w:p w:rsidR="00106158" w:rsidRPr="006F2BCD" w:rsidRDefault="00106158" w:rsidP="00106158">
            <w:pPr>
              <w:spacing w:after="0" w:line="240" w:lineRule="auto"/>
              <w:jc w:val="right"/>
              <w:rPr>
                <w:rFonts w:ascii="Calibri" w:eastAsia="Times New Roman" w:hAnsi="Calibri" w:cs="Arial"/>
                <w:color w:val="000000"/>
                <w:sz w:val="24"/>
                <w:szCs w:val="24"/>
                <w:lang w:eastAsia="en-AU"/>
              </w:rPr>
            </w:pPr>
            <w:r w:rsidRPr="006F2BCD">
              <w:rPr>
                <w:rFonts w:ascii="Calibri" w:eastAsia="Times New Roman" w:hAnsi="Calibri" w:cs="Arial"/>
                <w:color w:val="000000"/>
                <w:sz w:val="24"/>
                <w:szCs w:val="24"/>
                <w:lang w:eastAsia="en-AU"/>
              </w:rPr>
              <w:t> </w:t>
            </w:r>
          </w:p>
        </w:tc>
        <w:tc>
          <w:tcPr>
            <w:tcW w:w="1698" w:type="dxa"/>
            <w:gridSpan w:val="2"/>
            <w:tcBorders>
              <w:top w:val="single" w:sz="8" w:space="0" w:color="auto"/>
              <w:left w:val="single" w:sz="4" w:space="0" w:color="auto"/>
              <w:bottom w:val="single" w:sz="8" w:space="0" w:color="auto"/>
              <w:right w:val="single" w:sz="4" w:space="0" w:color="auto"/>
            </w:tcBorders>
            <w:shd w:val="clear" w:color="000000" w:fill="AEAAAA"/>
            <w:noWrap/>
            <w:vAlign w:val="bottom"/>
            <w:hideMark/>
          </w:tcPr>
          <w:p w:rsidR="00106158" w:rsidRPr="006F2BCD" w:rsidRDefault="00106158" w:rsidP="00106158">
            <w:pPr>
              <w:spacing w:after="0" w:line="240" w:lineRule="auto"/>
              <w:jc w:val="right"/>
              <w:rPr>
                <w:rFonts w:ascii="Calibri" w:eastAsia="Times New Roman" w:hAnsi="Calibri" w:cs="Arial"/>
                <w:color w:val="000000"/>
                <w:sz w:val="24"/>
                <w:szCs w:val="24"/>
                <w:lang w:eastAsia="en-AU"/>
              </w:rPr>
            </w:pPr>
            <w:r w:rsidRPr="006F2BCD">
              <w:rPr>
                <w:rFonts w:ascii="Calibri" w:eastAsia="Times New Roman" w:hAnsi="Calibri" w:cs="Arial"/>
                <w:color w:val="000000"/>
                <w:sz w:val="24"/>
                <w:szCs w:val="24"/>
                <w:lang w:eastAsia="en-AU"/>
              </w:rPr>
              <w:t> </w:t>
            </w:r>
          </w:p>
        </w:tc>
        <w:tc>
          <w:tcPr>
            <w:tcW w:w="1699" w:type="dxa"/>
            <w:gridSpan w:val="2"/>
            <w:tcBorders>
              <w:top w:val="single" w:sz="8" w:space="0" w:color="auto"/>
              <w:left w:val="single" w:sz="4" w:space="0" w:color="auto"/>
              <w:bottom w:val="single" w:sz="8" w:space="0" w:color="auto"/>
              <w:right w:val="single" w:sz="4" w:space="0" w:color="auto"/>
            </w:tcBorders>
            <w:shd w:val="clear" w:color="000000" w:fill="AEAAAA"/>
            <w:noWrap/>
            <w:vAlign w:val="bottom"/>
            <w:hideMark/>
          </w:tcPr>
          <w:p w:rsidR="00106158" w:rsidRPr="006F2BCD" w:rsidRDefault="00106158" w:rsidP="00106158">
            <w:pPr>
              <w:spacing w:after="0" w:line="240" w:lineRule="auto"/>
              <w:jc w:val="right"/>
              <w:rPr>
                <w:rFonts w:ascii="Calibri" w:eastAsia="Times New Roman" w:hAnsi="Calibri" w:cs="Arial"/>
                <w:color w:val="000000"/>
                <w:sz w:val="24"/>
                <w:szCs w:val="24"/>
                <w:lang w:eastAsia="en-AU"/>
              </w:rPr>
            </w:pPr>
            <w:r w:rsidRPr="006F2BCD">
              <w:rPr>
                <w:rFonts w:ascii="Calibri" w:eastAsia="Times New Roman" w:hAnsi="Calibri" w:cs="Arial"/>
                <w:color w:val="000000"/>
                <w:sz w:val="24"/>
                <w:szCs w:val="24"/>
                <w:lang w:eastAsia="en-AU"/>
              </w:rPr>
              <w:t> </w:t>
            </w:r>
          </w:p>
        </w:tc>
        <w:tc>
          <w:tcPr>
            <w:tcW w:w="1699" w:type="dxa"/>
            <w:tcBorders>
              <w:top w:val="single" w:sz="8" w:space="0" w:color="auto"/>
              <w:left w:val="single" w:sz="4" w:space="0" w:color="auto"/>
              <w:bottom w:val="single" w:sz="8" w:space="0" w:color="auto"/>
              <w:right w:val="single" w:sz="4" w:space="0" w:color="auto"/>
            </w:tcBorders>
            <w:shd w:val="clear" w:color="000000" w:fill="AEAAAA"/>
            <w:noWrap/>
            <w:vAlign w:val="bottom"/>
            <w:hideMark/>
          </w:tcPr>
          <w:p w:rsidR="00106158" w:rsidRPr="006F2BCD" w:rsidRDefault="00106158" w:rsidP="00106158">
            <w:pPr>
              <w:spacing w:after="0" w:line="240" w:lineRule="auto"/>
              <w:jc w:val="right"/>
              <w:rPr>
                <w:rFonts w:ascii="Calibri" w:eastAsia="Times New Roman" w:hAnsi="Calibri" w:cs="Arial"/>
                <w:color w:val="000000"/>
                <w:sz w:val="24"/>
                <w:szCs w:val="24"/>
                <w:lang w:eastAsia="en-AU"/>
              </w:rPr>
            </w:pPr>
            <w:r w:rsidRPr="006F2BCD">
              <w:rPr>
                <w:rFonts w:ascii="Calibri" w:eastAsia="Times New Roman" w:hAnsi="Calibri" w:cs="Arial"/>
                <w:color w:val="000000"/>
                <w:sz w:val="24"/>
                <w:szCs w:val="24"/>
                <w:lang w:eastAsia="en-AU"/>
              </w:rPr>
              <w:t> </w:t>
            </w:r>
          </w:p>
        </w:tc>
      </w:tr>
      <w:tr w:rsidR="00106158" w:rsidRPr="006F2BCD" w:rsidTr="00106158">
        <w:trPr>
          <w:trHeight w:val="248"/>
        </w:trPr>
        <w:tc>
          <w:tcPr>
            <w:tcW w:w="2643" w:type="dxa"/>
            <w:tcBorders>
              <w:top w:val="single" w:sz="4" w:space="0" w:color="FFFFFF"/>
              <w:left w:val="single" w:sz="4" w:space="0" w:color="auto"/>
              <w:bottom w:val="single" w:sz="4" w:space="0" w:color="auto"/>
              <w:right w:val="single" w:sz="4" w:space="0" w:color="auto"/>
            </w:tcBorders>
            <w:shd w:val="clear" w:color="auto" w:fill="5B9BD5" w:themeFill="accent1"/>
            <w:vAlign w:val="center"/>
          </w:tcPr>
          <w:p w:rsidR="00106158" w:rsidRPr="006F2BCD" w:rsidRDefault="00106158" w:rsidP="00106158">
            <w:pPr>
              <w:spacing w:after="0" w:line="240" w:lineRule="auto"/>
              <w:rPr>
                <w:rFonts w:ascii="Calibri" w:eastAsia="Times New Roman" w:hAnsi="Calibri" w:cs="Arial"/>
                <w:b/>
                <w:bCs/>
                <w:color w:val="FFFFFF"/>
                <w:sz w:val="24"/>
                <w:szCs w:val="24"/>
                <w:lang w:eastAsia="en-AU"/>
              </w:rPr>
            </w:pPr>
            <w:r>
              <w:rPr>
                <w:rFonts w:ascii="Calibri" w:eastAsia="Times New Roman" w:hAnsi="Calibri" w:cs="Arial"/>
                <w:b/>
                <w:bCs/>
                <w:color w:val="FFFFFF"/>
                <w:sz w:val="24"/>
                <w:szCs w:val="24"/>
                <w:lang w:eastAsia="en-AU"/>
              </w:rPr>
              <w:t>Sum of PV of AE</w:t>
            </w:r>
            <w:r w:rsidRPr="006F2BCD">
              <w:rPr>
                <w:rFonts w:ascii="Calibri" w:eastAsia="Times New Roman" w:hAnsi="Calibri" w:cs="Arial"/>
                <w:b/>
                <w:bCs/>
                <w:color w:val="FFFFFF"/>
                <w:sz w:val="24"/>
                <w:szCs w:val="24"/>
                <w:lang w:eastAsia="en-AU"/>
              </w:rPr>
              <w:t>s</w:t>
            </w:r>
          </w:p>
        </w:tc>
        <w:tc>
          <w:tcPr>
            <w:tcW w:w="1830" w:type="dxa"/>
            <w:tcBorders>
              <w:top w:val="single" w:sz="4" w:space="0" w:color="FFFFFF"/>
              <w:left w:val="single" w:sz="4" w:space="0" w:color="auto"/>
              <w:bottom w:val="single" w:sz="4" w:space="0" w:color="auto"/>
              <w:right w:val="single" w:sz="4" w:space="0" w:color="auto"/>
            </w:tcBorders>
            <w:shd w:val="clear" w:color="DDEBF7" w:fill="DDEBF7"/>
            <w:noWrap/>
            <w:vAlign w:val="center"/>
            <w:hideMark/>
          </w:tcPr>
          <w:p w:rsidR="00106158" w:rsidRPr="006F2BCD" w:rsidRDefault="00106158" w:rsidP="00106158">
            <w:pPr>
              <w:spacing w:after="0" w:line="240" w:lineRule="auto"/>
              <w:jc w:val="right"/>
              <w:rPr>
                <w:rFonts w:ascii="Calibri" w:eastAsia="Times New Roman" w:hAnsi="Calibri" w:cs="Arial"/>
                <w:color w:val="000000"/>
                <w:sz w:val="24"/>
                <w:szCs w:val="24"/>
                <w:lang w:eastAsia="en-AU"/>
              </w:rPr>
            </w:pPr>
            <w:r w:rsidRPr="006F2BCD">
              <w:rPr>
                <w:rFonts w:ascii="Calibri" w:eastAsia="Times New Roman" w:hAnsi="Calibri" w:cs="Arial"/>
                <w:color w:val="000000"/>
                <w:sz w:val="24"/>
                <w:szCs w:val="24"/>
                <w:lang w:eastAsia="en-AU"/>
              </w:rPr>
              <w:t xml:space="preserve"> $    (207,547)</w:t>
            </w:r>
          </w:p>
        </w:tc>
        <w:tc>
          <w:tcPr>
            <w:tcW w:w="1698" w:type="dxa"/>
            <w:gridSpan w:val="2"/>
            <w:tcBorders>
              <w:top w:val="single" w:sz="4" w:space="0" w:color="FFFFFF"/>
              <w:left w:val="single" w:sz="4" w:space="0" w:color="auto"/>
              <w:bottom w:val="single" w:sz="4" w:space="0" w:color="auto"/>
              <w:right w:val="single" w:sz="4" w:space="0" w:color="auto"/>
            </w:tcBorders>
            <w:shd w:val="clear" w:color="DDEBF7" w:fill="DDEBF7"/>
            <w:noWrap/>
            <w:vAlign w:val="center"/>
            <w:hideMark/>
          </w:tcPr>
          <w:p w:rsidR="00106158" w:rsidRPr="006F2BCD" w:rsidRDefault="00106158" w:rsidP="00106158">
            <w:pPr>
              <w:spacing w:after="0" w:line="240" w:lineRule="auto"/>
              <w:jc w:val="right"/>
              <w:rPr>
                <w:rFonts w:ascii="Calibri" w:eastAsia="Times New Roman" w:hAnsi="Calibri" w:cs="Arial"/>
                <w:color w:val="000000"/>
                <w:sz w:val="24"/>
                <w:szCs w:val="24"/>
                <w:lang w:eastAsia="en-AU"/>
              </w:rPr>
            </w:pPr>
            <w:r w:rsidRPr="006F2BCD">
              <w:rPr>
                <w:rFonts w:ascii="Calibri" w:eastAsia="Times New Roman" w:hAnsi="Calibri" w:cs="Arial"/>
                <w:color w:val="000000"/>
                <w:sz w:val="24"/>
                <w:szCs w:val="24"/>
                <w:lang w:eastAsia="en-AU"/>
              </w:rPr>
              <w:t xml:space="preserve"> $    (58,637)</w:t>
            </w:r>
          </w:p>
        </w:tc>
        <w:tc>
          <w:tcPr>
            <w:tcW w:w="1699" w:type="dxa"/>
            <w:gridSpan w:val="2"/>
            <w:tcBorders>
              <w:top w:val="single" w:sz="4" w:space="0" w:color="FFFFFF"/>
              <w:left w:val="single" w:sz="4" w:space="0" w:color="auto"/>
              <w:bottom w:val="single" w:sz="4" w:space="0" w:color="auto"/>
              <w:right w:val="single" w:sz="4" w:space="0" w:color="auto"/>
            </w:tcBorders>
            <w:shd w:val="clear" w:color="DDEBF7" w:fill="DDEBF7"/>
            <w:noWrap/>
            <w:vAlign w:val="center"/>
            <w:hideMark/>
          </w:tcPr>
          <w:p w:rsidR="00106158" w:rsidRPr="006F2BCD" w:rsidRDefault="00106158" w:rsidP="00106158">
            <w:pPr>
              <w:spacing w:after="0" w:line="240" w:lineRule="auto"/>
              <w:jc w:val="right"/>
              <w:rPr>
                <w:rFonts w:ascii="Calibri" w:eastAsia="Times New Roman" w:hAnsi="Calibri" w:cs="Arial"/>
                <w:color w:val="000000"/>
                <w:sz w:val="24"/>
                <w:szCs w:val="24"/>
                <w:lang w:eastAsia="en-AU"/>
              </w:rPr>
            </w:pPr>
            <w:r w:rsidRPr="006F2BCD">
              <w:rPr>
                <w:rFonts w:ascii="Calibri" w:eastAsia="Times New Roman" w:hAnsi="Calibri" w:cs="Arial"/>
                <w:color w:val="000000"/>
                <w:sz w:val="24"/>
                <w:szCs w:val="24"/>
                <w:lang w:eastAsia="en-AU"/>
              </w:rPr>
              <w:t xml:space="preserve"> $   (207,547)</w:t>
            </w:r>
          </w:p>
        </w:tc>
        <w:tc>
          <w:tcPr>
            <w:tcW w:w="1699" w:type="dxa"/>
            <w:tcBorders>
              <w:top w:val="single" w:sz="4" w:space="0" w:color="FFFFFF"/>
              <w:left w:val="single" w:sz="4" w:space="0" w:color="auto"/>
              <w:bottom w:val="single" w:sz="4" w:space="0" w:color="auto"/>
              <w:right w:val="single" w:sz="4" w:space="0" w:color="auto"/>
            </w:tcBorders>
            <w:shd w:val="clear" w:color="DDEBF7" w:fill="DDEBF7"/>
            <w:noWrap/>
            <w:vAlign w:val="center"/>
            <w:hideMark/>
          </w:tcPr>
          <w:p w:rsidR="00106158" w:rsidRPr="006F2BCD" w:rsidRDefault="00106158" w:rsidP="00106158">
            <w:pPr>
              <w:spacing w:after="0" w:line="240" w:lineRule="auto"/>
              <w:jc w:val="right"/>
              <w:rPr>
                <w:rFonts w:ascii="Calibri" w:eastAsia="Times New Roman" w:hAnsi="Calibri" w:cs="Arial"/>
                <w:color w:val="000000"/>
                <w:sz w:val="24"/>
                <w:szCs w:val="24"/>
                <w:lang w:eastAsia="en-AU"/>
              </w:rPr>
            </w:pPr>
            <w:r w:rsidRPr="006F2BCD">
              <w:rPr>
                <w:rFonts w:ascii="Calibri" w:eastAsia="Times New Roman" w:hAnsi="Calibri" w:cs="Arial"/>
                <w:color w:val="000000"/>
                <w:sz w:val="24"/>
                <w:szCs w:val="24"/>
                <w:lang w:eastAsia="en-AU"/>
              </w:rPr>
              <w:t xml:space="preserve"> $      (58,637)</w:t>
            </w:r>
          </w:p>
        </w:tc>
      </w:tr>
      <w:tr w:rsidR="00106158" w:rsidRPr="006F2BCD" w:rsidTr="00106158">
        <w:trPr>
          <w:trHeight w:val="248"/>
        </w:trPr>
        <w:tc>
          <w:tcPr>
            <w:tcW w:w="2643" w:type="dxa"/>
            <w:tcBorders>
              <w:top w:val="single" w:sz="4" w:space="0" w:color="auto"/>
              <w:left w:val="single" w:sz="4" w:space="0" w:color="auto"/>
              <w:bottom w:val="single" w:sz="4" w:space="0" w:color="auto"/>
              <w:right w:val="single" w:sz="4" w:space="0" w:color="auto"/>
            </w:tcBorders>
            <w:shd w:val="clear" w:color="auto" w:fill="5B9BD5" w:themeFill="accent1"/>
            <w:vAlign w:val="center"/>
          </w:tcPr>
          <w:p w:rsidR="00106158" w:rsidRPr="006F2BCD" w:rsidRDefault="00106158" w:rsidP="00106158">
            <w:pPr>
              <w:spacing w:after="0" w:line="240" w:lineRule="auto"/>
              <w:rPr>
                <w:rFonts w:ascii="Calibri" w:eastAsia="Times New Roman" w:hAnsi="Calibri" w:cs="Arial"/>
                <w:b/>
                <w:bCs/>
                <w:color w:val="FFFFFF"/>
                <w:sz w:val="24"/>
                <w:szCs w:val="24"/>
                <w:lang w:eastAsia="en-AU"/>
              </w:rPr>
            </w:pPr>
            <w:r w:rsidRPr="006F2BCD">
              <w:rPr>
                <w:rFonts w:ascii="Calibri" w:eastAsia="Times New Roman" w:hAnsi="Calibri" w:cs="Arial"/>
                <w:b/>
                <w:bCs/>
                <w:color w:val="FFFFFF"/>
                <w:sz w:val="24"/>
                <w:szCs w:val="24"/>
                <w:lang w:eastAsia="en-AU"/>
              </w:rPr>
              <w:t>TV of AE</w:t>
            </w:r>
          </w:p>
        </w:tc>
        <w:tc>
          <w:tcPr>
            <w:tcW w:w="1830"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rsidR="00106158" w:rsidRPr="006F2BCD" w:rsidRDefault="00106158" w:rsidP="00106158">
            <w:pPr>
              <w:spacing w:after="0" w:line="240" w:lineRule="auto"/>
              <w:jc w:val="right"/>
              <w:rPr>
                <w:rFonts w:ascii="Calibri" w:eastAsia="Times New Roman" w:hAnsi="Calibri" w:cs="Arial"/>
                <w:color w:val="000000"/>
                <w:sz w:val="24"/>
                <w:szCs w:val="24"/>
                <w:lang w:eastAsia="en-AU"/>
              </w:rPr>
            </w:pPr>
            <w:r w:rsidRPr="006F2BCD">
              <w:rPr>
                <w:rFonts w:ascii="Calibri" w:eastAsia="Times New Roman" w:hAnsi="Calibri" w:cs="Arial"/>
                <w:color w:val="000000"/>
                <w:sz w:val="24"/>
                <w:szCs w:val="24"/>
                <w:lang w:eastAsia="en-AU"/>
              </w:rPr>
              <w:t xml:space="preserve"> $      (18,928)</w:t>
            </w:r>
          </w:p>
        </w:tc>
        <w:tc>
          <w:tcPr>
            <w:tcW w:w="1698" w:type="dxa"/>
            <w:gridSpan w:val="2"/>
            <w:tcBorders>
              <w:top w:val="single" w:sz="4" w:space="0" w:color="auto"/>
              <w:left w:val="single" w:sz="4" w:space="0" w:color="auto"/>
              <w:bottom w:val="single" w:sz="4" w:space="0" w:color="auto"/>
              <w:right w:val="single" w:sz="4" w:space="0" w:color="auto"/>
            </w:tcBorders>
            <w:shd w:val="clear" w:color="DDEBF7" w:fill="DDEBF7"/>
            <w:noWrap/>
            <w:vAlign w:val="bottom"/>
            <w:hideMark/>
          </w:tcPr>
          <w:p w:rsidR="00106158" w:rsidRPr="006F2BCD" w:rsidRDefault="00106158" w:rsidP="00106158">
            <w:pPr>
              <w:spacing w:after="0" w:line="240" w:lineRule="auto"/>
              <w:jc w:val="right"/>
              <w:rPr>
                <w:rFonts w:ascii="Calibri" w:eastAsia="Times New Roman" w:hAnsi="Calibri" w:cs="Arial"/>
                <w:color w:val="000000"/>
                <w:sz w:val="24"/>
                <w:szCs w:val="24"/>
                <w:lang w:eastAsia="en-AU"/>
              </w:rPr>
            </w:pPr>
            <w:r w:rsidRPr="006F2BCD">
              <w:rPr>
                <w:rFonts w:ascii="Calibri" w:eastAsia="Times New Roman" w:hAnsi="Calibri" w:cs="Arial"/>
                <w:color w:val="000000"/>
                <w:sz w:val="24"/>
                <w:szCs w:val="24"/>
                <w:lang w:eastAsia="en-AU"/>
              </w:rPr>
              <w:t xml:space="preserve"> $    285,989 </w:t>
            </w:r>
          </w:p>
        </w:tc>
        <w:tc>
          <w:tcPr>
            <w:tcW w:w="1699" w:type="dxa"/>
            <w:gridSpan w:val="2"/>
            <w:tcBorders>
              <w:top w:val="single" w:sz="4" w:space="0" w:color="auto"/>
              <w:left w:val="single" w:sz="4" w:space="0" w:color="auto"/>
              <w:bottom w:val="single" w:sz="4" w:space="0" w:color="auto"/>
              <w:right w:val="single" w:sz="4" w:space="0" w:color="auto"/>
            </w:tcBorders>
            <w:shd w:val="clear" w:color="DDEBF7" w:fill="DDEBF7"/>
            <w:noWrap/>
            <w:vAlign w:val="bottom"/>
            <w:hideMark/>
          </w:tcPr>
          <w:p w:rsidR="00106158" w:rsidRPr="006F2BCD" w:rsidRDefault="00106158" w:rsidP="00106158">
            <w:pPr>
              <w:spacing w:after="0" w:line="240" w:lineRule="auto"/>
              <w:jc w:val="right"/>
              <w:rPr>
                <w:rFonts w:ascii="Calibri" w:eastAsia="Times New Roman" w:hAnsi="Calibri" w:cs="Arial"/>
                <w:color w:val="000000"/>
                <w:sz w:val="24"/>
                <w:szCs w:val="24"/>
                <w:lang w:eastAsia="en-AU"/>
              </w:rPr>
            </w:pPr>
            <w:r w:rsidRPr="006F2BCD">
              <w:rPr>
                <w:rFonts w:ascii="Calibri" w:eastAsia="Times New Roman" w:hAnsi="Calibri" w:cs="Arial"/>
                <w:color w:val="000000"/>
                <w:sz w:val="24"/>
                <w:szCs w:val="24"/>
                <w:lang w:eastAsia="en-AU"/>
              </w:rPr>
              <w:t xml:space="preserve"> $     (18,500)</w:t>
            </w:r>
          </w:p>
        </w:tc>
        <w:tc>
          <w:tcPr>
            <w:tcW w:w="1699"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rsidR="00106158" w:rsidRPr="006F2BCD" w:rsidRDefault="00106158" w:rsidP="00106158">
            <w:pPr>
              <w:spacing w:after="0" w:line="240" w:lineRule="auto"/>
              <w:jc w:val="right"/>
              <w:rPr>
                <w:rFonts w:ascii="Calibri" w:eastAsia="Times New Roman" w:hAnsi="Calibri" w:cs="Arial"/>
                <w:color w:val="000000"/>
                <w:sz w:val="24"/>
                <w:szCs w:val="24"/>
                <w:lang w:eastAsia="en-AU"/>
              </w:rPr>
            </w:pPr>
            <w:r w:rsidRPr="006F2BCD">
              <w:rPr>
                <w:rFonts w:ascii="Calibri" w:eastAsia="Times New Roman" w:hAnsi="Calibri" w:cs="Arial"/>
                <w:color w:val="000000"/>
                <w:sz w:val="24"/>
                <w:szCs w:val="24"/>
                <w:lang w:eastAsia="en-AU"/>
              </w:rPr>
              <w:t xml:space="preserve"> $     296,044 </w:t>
            </w:r>
          </w:p>
        </w:tc>
      </w:tr>
      <w:tr w:rsidR="00106158" w:rsidRPr="006F2BCD" w:rsidTr="00106158">
        <w:trPr>
          <w:trHeight w:val="248"/>
        </w:trPr>
        <w:tc>
          <w:tcPr>
            <w:tcW w:w="2643" w:type="dxa"/>
            <w:tcBorders>
              <w:top w:val="single" w:sz="4" w:space="0" w:color="auto"/>
              <w:left w:val="single" w:sz="4" w:space="0" w:color="auto"/>
              <w:bottom w:val="single" w:sz="4" w:space="0" w:color="auto"/>
              <w:right w:val="single" w:sz="4" w:space="0" w:color="auto"/>
            </w:tcBorders>
            <w:shd w:val="clear" w:color="auto" w:fill="5B9BD5" w:themeFill="accent1"/>
            <w:vAlign w:val="center"/>
          </w:tcPr>
          <w:p w:rsidR="00106158" w:rsidRPr="006F2BCD" w:rsidRDefault="00106158" w:rsidP="00106158">
            <w:pPr>
              <w:spacing w:after="0" w:line="240" w:lineRule="auto"/>
              <w:rPr>
                <w:rFonts w:ascii="Calibri" w:eastAsia="Times New Roman" w:hAnsi="Calibri" w:cs="Arial"/>
                <w:b/>
                <w:bCs/>
                <w:color w:val="FFFFFF"/>
                <w:sz w:val="24"/>
                <w:szCs w:val="24"/>
                <w:lang w:eastAsia="en-AU"/>
              </w:rPr>
            </w:pPr>
            <w:r w:rsidRPr="006F2BCD">
              <w:rPr>
                <w:rFonts w:ascii="Calibri" w:eastAsia="Times New Roman" w:hAnsi="Calibri" w:cs="Arial"/>
                <w:b/>
                <w:bCs/>
                <w:color w:val="FFFFFF"/>
                <w:sz w:val="24"/>
                <w:szCs w:val="24"/>
                <w:lang w:eastAsia="en-AU"/>
              </w:rPr>
              <w:t>Equity value</w:t>
            </w:r>
          </w:p>
        </w:tc>
        <w:tc>
          <w:tcPr>
            <w:tcW w:w="1830"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rsidR="00106158" w:rsidRPr="006F2BCD" w:rsidRDefault="00106158" w:rsidP="00106158">
            <w:pPr>
              <w:spacing w:after="0" w:line="240" w:lineRule="auto"/>
              <w:jc w:val="right"/>
              <w:rPr>
                <w:rFonts w:ascii="Calibri" w:eastAsia="Times New Roman" w:hAnsi="Calibri" w:cs="Arial"/>
                <w:color w:val="000000"/>
                <w:sz w:val="24"/>
                <w:szCs w:val="24"/>
                <w:lang w:eastAsia="en-AU"/>
              </w:rPr>
            </w:pPr>
            <w:r w:rsidRPr="006F2BCD">
              <w:rPr>
                <w:rFonts w:ascii="Calibri" w:eastAsia="Times New Roman" w:hAnsi="Calibri" w:cs="Arial"/>
                <w:color w:val="000000"/>
                <w:sz w:val="24"/>
                <w:szCs w:val="24"/>
                <w:lang w:eastAsia="en-AU"/>
              </w:rPr>
              <w:t xml:space="preserve"> $  1,589,720 </w:t>
            </w:r>
          </w:p>
        </w:tc>
        <w:tc>
          <w:tcPr>
            <w:tcW w:w="1698" w:type="dxa"/>
            <w:gridSpan w:val="2"/>
            <w:tcBorders>
              <w:top w:val="single" w:sz="4" w:space="0" w:color="auto"/>
              <w:left w:val="single" w:sz="4" w:space="0" w:color="auto"/>
              <w:bottom w:val="single" w:sz="4" w:space="0" w:color="auto"/>
              <w:right w:val="single" w:sz="4" w:space="0" w:color="auto"/>
            </w:tcBorders>
            <w:shd w:val="clear" w:color="DDEBF7" w:fill="DDEBF7"/>
            <w:noWrap/>
            <w:vAlign w:val="bottom"/>
            <w:hideMark/>
          </w:tcPr>
          <w:p w:rsidR="00106158" w:rsidRPr="006F2BCD" w:rsidRDefault="00106158" w:rsidP="00106158">
            <w:pPr>
              <w:spacing w:after="0" w:line="240" w:lineRule="auto"/>
              <w:jc w:val="right"/>
              <w:rPr>
                <w:rFonts w:ascii="Calibri" w:eastAsia="Times New Roman" w:hAnsi="Calibri" w:cs="Arial"/>
                <w:color w:val="000000"/>
                <w:sz w:val="24"/>
                <w:szCs w:val="24"/>
                <w:lang w:eastAsia="en-AU"/>
              </w:rPr>
            </w:pPr>
            <w:r w:rsidRPr="006F2BCD">
              <w:rPr>
                <w:rFonts w:ascii="Calibri" w:eastAsia="Times New Roman" w:hAnsi="Calibri" w:cs="Arial"/>
                <w:color w:val="000000"/>
                <w:sz w:val="24"/>
                <w:szCs w:val="24"/>
                <w:lang w:eastAsia="en-AU"/>
              </w:rPr>
              <w:t xml:space="preserve"> $2,043,547 </w:t>
            </w:r>
          </w:p>
        </w:tc>
        <w:tc>
          <w:tcPr>
            <w:tcW w:w="1699" w:type="dxa"/>
            <w:gridSpan w:val="2"/>
            <w:tcBorders>
              <w:top w:val="single" w:sz="4" w:space="0" w:color="auto"/>
              <w:left w:val="single" w:sz="4" w:space="0" w:color="auto"/>
              <w:bottom w:val="single" w:sz="4" w:space="0" w:color="auto"/>
              <w:right w:val="single" w:sz="4" w:space="0" w:color="auto"/>
            </w:tcBorders>
            <w:shd w:val="clear" w:color="DDEBF7" w:fill="DDEBF7"/>
            <w:noWrap/>
            <w:vAlign w:val="bottom"/>
            <w:hideMark/>
          </w:tcPr>
          <w:p w:rsidR="00106158" w:rsidRPr="006F2BCD" w:rsidRDefault="00106158" w:rsidP="00106158">
            <w:pPr>
              <w:spacing w:after="0" w:line="240" w:lineRule="auto"/>
              <w:jc w:val="right"/>
              <w:rPr>
                <w:rFonts w:ascii="Calibri" w:eastAsia="Times New Roman" w:hAnsi="Calibri" w:cs="Arial"/>
                <w:color w:val="000000"/>
                <w:sz w:val="24"/>
                <w:szCs w:val="24"/>
                <w:lang w:eastAsia="en-AU"/>
              </w:rPr>
            </w:pPr>
            <w:r w:rsidRPr="006F2BCD">
              <w:rPr>
                <w:rFonts w:ascii="Calibri" w:eastAsia="Times New Roman" w:hAnsi="Calibri" w:cs="Arial"/>
                <w:color w:val="000000"/>
                <w:sz w:val="24"/>
                <w:szCs w:val="24"/>
                <w:lang w:eastAsia="en-AU"/>
              </w:rPr>
              <w:t xml:space="preserve"> $ 1,590,148 </w:t>
            </w:r>
          </w:p>
        </w:tc>
        <w:tc>
          <w:tcPr>
            <w:tcW w:w="1699"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rsidR="00106158" w:rsidRPr="006F2BCD" w:rsidRDefault="00106158" w:rsidP="00106158">
            <w:pPr>
              <w:spacing w:after="0" w:line="240" w:lineRule="auto"/>
              <w:jc w:val="right"/>
              <w:rPr>
                <w:rFonts w:ascii="Calibri" w:eastAsia="Times New Roman" w:hAnsi="Calibri" w:cs="Arial"/>
                <w:color w:val="000000"/>
                <w:sz w:val="24"/>
                <w:szCs w:val="24"/>
                <w:lang w:eastAsia="en-AU"/>
              </w:rPr>
            </w:pPr>
            <w:r w:rsidRPr="006F2BCD">
              <w:rPr>
                <w:rFonts w:ascii="Calibri" w:eastAsia="Times New Roman" w:hAnsi="Calibri" w:cs="Arial"/>
                <w:color w:val="000000"/>
                <w:sz w:val="24"/>
                <w:szCs w:val="24"/>
                <w:lang w:eastAsia="en-AU"/>
              </w:rPr>
              <w:t xml:space="preserve"> $  2,053,602 </w:t>
            </w:r>
          </w:p>
        </w:tc>
      </w:tr>
      <w:tr w:rsidR="00106158" w:rsidRPr="006F2BCD" w:rsidTr="00106158">
        <w:trPr>
          <w:trHeight w:val="261"/>
        </w:trPr>
        <w:tc>
          <w:tcPr>
            <w:tcW w:w="2643" w:type="dxa"/>
            <w:tcBorders>
              <w:top w:val="single" w:sz="4" w:space="0" w:color="auto"/>
              <w:left w:val="single" w:sz="4" w:space="0" w:color="auto"/>
              <w:bottom w:val="single" w:sz="4" w:space="0" w:color="FFFFFF"/>
              <w:right w:val="single" w:sz="4" w:space="0" w:color="auto"/>
            </w:tcBorders>
            <w:shd w:val="clear" w:color="auto" w:fill="5B9BD5" w:themeFill="accent1"/>
            <w:vAlign w:val="center"/>
          </w:tcPr>
          <w:p w:rsidR="00106158" w:rsidRPr="006F2BCD" w:rsidRDefault="00106158" w:rsidP="00106158">
            <w:pPr>
              <w:spacing w:after="0" w:line="240" w:lineRule="auto"/>
              <w:rPr>
                <w:rFonts w:ascii="Calibri" w:eastAsia="Times New Roman" w:hAnsi="Calibri" w:cs="Arial"/>
                <w:b/>
                <w:bCs/>
                <w:color w:val="FFFFFF"/>
                <w:sz w:val="24"/>
                <w:szCs w:val="24"/>
                <w:lang w:eastAsia="en-AU"/>
              </w:rPr>
            </w:pPr>
            <w:r w:rsidRPr="006F2BCD">
              <w:rPr>
                <w:rFonts w:ascii="Calibri" w:eastAsia="Times New Roman" w:hAnsi="Calibri" w:cs="Arial"/>
                <w:b/>
                <w:bCs/>
                <w:color w:val="FFFFFF"/>
                <w:sz w:val="24"/>
                <w:szCs w:val="24"/>
                <w:lang w:eastAsia="en-AU"/>
              </w:rPr>
              <w:t>AE share value</w:t>
            </w:r>
          </w:p>
        </w:tc>
        <w:tc>
          <w:tcPr>
            <w:tcW w:w="1830" w:type="dxa"/>
            <w:tcBorders>
              <w:top w:val="single" w:sz="4" w:space="0" w:color="auto"/>
              <w:left w:val="single" w:sz="4" w:space="0" w:color="auto"/>
              <w:bottom w:val="single" w:sz="4" w:space="0" w:color="FFFFFF"/>
              <w:right w:val="single" w:sz="4" w:space="0" w:color="auto"/>
            </w:tcBorders>
            <w:shd w:val="clear" w:color="DDEBF7" w:fill="DDEBF7"/>
            <w:noWrap/>
            <w:vAlign w:val="bottom"/>
            <w:hideMark/>
          </w:tcPr>
          <w:p w:rsidR="00106158" w:rsidRPr="006F2BCD" w:rsidRDefault="00106158" w:rsidP="00106158">
            <w:pPr>
              <w:spacing w:after="0" w:line="240" w:lineRule="auto"/>
              <w:jc w:val="right"/>
              <w:rPr>
                <w:rFonts w:ascii="Calibri" w:eastAsia="Times New Roman" w:hAnsi="Calibri" w:cs="Arial"/>
                <w:color w:val="000000"/>
                <w:sz w:val="24"/>
                <w:szCs w:val="24"/>
                <w:lang w:eastAsia="en-AU"/>
              </w:rPr>
            </w:pPr>
            <w:r w:rsidRPr="006F2BCD">
              <w:rPr>
                <w:rFonts w:ascii="Calibri" w:eastAsia="Times New Roman" w:hAnsi="Calibri" w:cs="Arial"/>
                <w:color w:val="000000"/>
                <w:sz w:val="24"/>
                <w:szCs w:val="24"/>
                <w:lang w:eastAsia="en-AU"/>
              </w:rPr>
              <w:t xml:space="preserve"> $            0.68 </w:t>
            </w:r>
          </w:p>
        </w:tc>
        <w:tc>
          <w:tcPr>
            <w:tcW w:w="1698" w:type="dxa"/>
            <w:gridSpan w:val="2"/>
            <w:tcBorders>
              <w:top w:val="single" w:sz="4" w:space="0" w:color="auto"/>
              <w:left w:val="single" w:sz="4" w:space="0" w:color="auto"/>
              <w:bottom w:val="single" w:sz="4" w:space="0" w:color="FFFFFF"/>
              <w:right w:val="single" w:sz="4" w:space="0" w:color="auto"/>
            </w:tcBorders>
            <w:shd w:val="clear" w:color="DDEBF7" w:fill="DDEBF7"/>
            <w:noWrap/>
            <w:vAlign w:val="bottom"/>
            <w:hideMark/>
          </w:tcPr>
          <w:p w:rsidR="00106158" w:rsidRPr="006F2BCD" w:rsidRDefault="00106158" w:rsidP="00106158">
            <w:pPr>
              <w:spacing w:after="0" w:line="240" w:lineRule="auto"/>
              <w:jc w:val="right"/>
              <w:rPr>
                <w:rFonts w:ascii="Calibri" w:eastAsia="Times New Roman" w:hAnsi="Calibri" w:cs="Arial"/>
                <w:color w:val="000000"/>
                <w:sz w:val="24"/>
                <w:szCs w:val="24"/>
                <w:lang w:eastAsia="en-AU"/>
              </w:rPr>
            </w:pPr>
            <w:r w:rsidRPr="006F2BCD">
              <w:rPr>
                <w:rFonts w:ascii="Calibri" w:eastAsia="Times New Roman" w:hAnsi="Calibri" w:cs="Arial"/>
                <w:color w:val="000000"/>
                <w:sz w:val="24"/>
                <w:szCs w:val="24"/>
                <w:lang w:eastAsia="en-AU"/>
              </w:rPr>
              <w:t xml:space="preserve"> $           0.87 </w:t>
            </w:r>
          </w:p>
        </w:tc>
        <w:tc>
          <w:tcPr>
            <w:tcW w:w="1699" w:type="dxa"/>
            <w:gridSpan w:val="2"/>
            <w:tcBorders>
              <w:top w:val="single" w:sz="4" w:space="0" w:color="auto"/>
              <w:left w:val="single" w:sz="4" w:space="0" w:color="auto"/>
              <w:bottom w:val="single" w:sz="4" w:space="0" w:color="FFFFFF"/>
              <w:right w:val="single" w:sz="4" w:space="0" w:color="auto"/>
            </w:tcBorders>
            <w:shd w:val="clear" w:color="DDEBF7" w:fill="DDEBF7"/>
            <w:noWrap/>
            <w:vAlign w:val="bottom"/>
            <w:hideMark/>
          </w:tcPr>
          <w:p w:rsidR="00106158" w:rsidRPr="006F2BCD" w:rsidRDefault="00106158" w:rsidP="00106158">
            <w:pPr>
              <w:spacing w:after="0" w:line="240" w:lineRule="auto"/>
              <w:jc w:val="right"/>
              <w:rPr>
                <w:rFonts w:ascii="Calibri" w:eastAsia="Times New Roman" w:hAnsi="Calibri" w:cs="Arial"/>
                <w:color w:val="000000"/>
                <w:sz w:val="24"/>
                <w:szCs w:val="24"/>
                <w:lang w:eastAsia="en-AU"/>
              </w:rPr>
            </w:pPr>
            <w:r w:rsidRPr="006F2BCD">
              <w:rPr>
                <w:rFonts w:ascii="Calibri" w:eastAsia="Times New Roman" w:hAnsi="Calibri" w:cs="Arial"/>
                <w:color w:val="000000"/>
                <w:sz w:val="24"/>
                <w:szCs w:val="24"/>
                <w:lang w:eastAsia="en-AU"/>
              </w:rPr>
              <w:t xml:space="preserve"> $           0.68 </w:t>
            </w:r>
          </w:p>
        </w:tc>
        <w:tc>
          <w:tcPr>
            <w:tcW w:w="1699" w:type="dxa"/>
            <w:tcBorders>
              <w:top w:val="single" w:sz="4" w:space="0" w:color="auto"/>
              <w:left w:val="single" w:sz="4" w:space="0" w:color="auto"/>
              <w:bottom w:val="single" w:sz="4" w:space="0" w:color="FFFFFF"/>
              <w:right w:val="single" w:sz="4" w:space="0" w:color="auto"/>
            </w:tcBorders>
            <w:shd w:val="clear" w:color="DDEBF7" w:fill="DDEBF7"/>
            <w:noWrap/>
            <w:vAlign w:val="bottom"/>
            <w:hideMark/>
          </w:tcPr>
          <w:p w:rsidR="00106158" w:rsidRPr="006F2BCD" w:rsidRDefault="00106158" w:rsidP="00106158">
            <w:pPr>
              <w:spacing w:after="0" w:line="240" w:lineRule="auto"/>
              <w:jc w:val="right"/>
              <w:rPr>
                <w:rFonts w:ascii="Calibri" w:eastAsia="Times New Roman" w:hAnsi="Calibri" w:cs="Arial"/>
                <w:color w:val="000000"/>
                <w:sz w:val="24"/>
                <w:szCs w:val="24"/>
                <w:lang w:eastAsia="en-AU"/>
              </w:rPr>
            </w:pPr>
            <w:r w:rsidRPr="006F2BCD">
              <w:rPr>
                <w:rFonts w:ascii="Calibri" w:eastAsia="Times New Roman" w:hAnsi="Calibri" w:cs="Arial"/>
                <w:color w:val="000000"/>
                <w:sz w:val="24"/>
                <w:szCs w:val="24"/>
                <w:lang w:eastAsia="en-AU"/>
              </w:rPr>
              <w:t xml:space="preserve"> $            0.87 </w:t>
            </w:r>
          </w:p>
        </w:tc>
      </w:tr>
      <w:tr w:rsidR="00106158" w:rsidRPr="006F2BCD" w:rsidTr="00106158">
        <w:trPr>
          <w:trHeight w:val="74"/>
        </w:trPr>
        <w:tc>
          <w:tcPr>
            <w:tcW w:w="2643" w:type="dxa"/>
            <w:tcBorders>
              <w:top w:val="single" w:sz="8" w:space="0" w:color="auto"/>
              <w:left w:val="single" w:sz="4" w:space="0" w:color="auto"/>
              <w:bottom w:val="single" w:sz="8" w:space="0" w:color="auto"/>
              <w:right w:val="single" w:sz="4" w:space="0" w:color="auto"/>
            </w:tcBorders>
            <w:shd w:val="clear" w:color="000000" w:fill="AEAAAA"/>
            <w:vAlign w:val="center"/>
          </w:tcPr>
          <w:p w:rsidR="00106158" w:rsidRPr="006F2BCD" w:rsidRDefault="00106158" w:rsidP="00106158">
            <w:pPr>
              <w:spacing w:after="0" w:line="240" w:lineRule="auto"/>
              <w:rPr>
                <w:rFonts w:ascii="Calibri" w:eastAsia="Times New Roman" w:hAnsi="Calibri" w:cs="Arial"/>
                <w:b/>
                <w:bCs/>
                <w:color w:val="FFFFFF"/>
                <w:sz w:val="24"/>
                <w:szCs w:val="24"/>
                <w:lang w:eastAsia="en-AU"/>
              </w:rPr>
            </w:pPr>
            <w:r w:rsidRPr="006F2BCD">
              <w:rPr>
                <w:rFonts w:ascii="Calibri" w:eastAsia="Times New Roman" w:hAnsi="Calibri" w:cs="Arial"/>
                <w:b/>
                <w:bCs/>
                <w:color w:val="FFFFFF"/>
                <w:sz w:val="24"/>
                <w:szCs w:val="24"/>
                <w:lang w:eastAsia="en-AU"/>
              </w:rPr>
              <w:t> </w:t>
            </w:r>
          </w:p>
        </w:tc>
        <w:tc>
          <w:tcPr>
            <w:tcW w:w="1830" w:type="dxa"/>
            <w:tcBorders>
              <w:top w:val="single" w:sz="8" w:space="0" w:color="auto"/>
              <w:left w:val="single" w:sz="4" w:space="0" w:color="auto"/>
              <w:bottom w:val="single" w:sz="8" w:space="0" w:color="auto"/>
              <w:right w:val="single" w:sz="4" w:space="0" w:color="auto"/>
            </w:tcBorders>
            <w:shd w:val="clear" w:color="000000" w:fill="AEAAAA"/>
            <w:noWrap/>
            <w:vAlign w:val="bottom"/>
            <w:hideMark/>
          </w:tcPr>
          <w:p w:rsidR="00106158" w:rsidRPr="006F2BCD" w:rsidRDefault="00106158" w:rsidP="00106158">
            <w:pPr>
              <w:spacing w:after="0" w:line="240" w:lineRule="auto"/>
              <w:jc w:val="right"/>
              <w:rPr>
                <w:rFonts w:ascii="Calibri" w:eastAsia="Times New Roman" w:hAnsi="Calibri" w:cs="Arial"/>
                <w:color w:val="000000"/>
                <w:sz w:val="24"/>
                <w:szCs w:val="24"/>
                <w:lang w:eastAsia="en-AU"/>
              </w:rPr>
            </w:pPr>
            <w:r w:rsidRPr="006F2BCD">
              <w:rPr>
                <w:rFonts w:ascii="Calibri" w:eastAsia="Times New Roman" w:hAnsi="Calibri" w:cs="Arial"/>
                <w:color w:val="000000"/>
                <w:sz w:val="24"/>
                <w:szCs w:val="24"/>
                <w:lang w:eastAsia="en-AU"/>
              </w:rPr>
              <w:t> </w:t>
            </w:r>
          </w:p>
        </w:tc>
        <w:tc>
          <w:tcPr>
            <w:tcW w:w="1698" w:type="dxa"/>
            <w:gridSpan w:val="2"/>
            <w:tcBorders>
              <w:top w:val="single" w:sz="8" w:space="0" w:color="auto"/>
              <w:left w:val="single" w:sz="4" w:space="0" w:color="auto"/>
              <w:bottom w:val="single" w:sz="8" w:space="0" w:color="auto"/>
              <w:right w:val="single" w:sz="4" w:space="0" w:color="auto"/>
            </w:tcBorders>
            <w:shd w:val="clear" w:color="000000" w:fill="AEAAAA"/>
            <w:noWrap/>
            <w:vAlign w:val="bottom"/>
            <w:hideMark/>
          </w:tcPr>
          <w:p w:rsidR="00106158" w:rsidRPr="006F2BCD" w:rsidRDefault="00106158" w:rsidP="00106158">
            <w:pPr>
              <w:spacing w:after="0" w:line="240" w:lineRule="auto"/>
              <w:jc w:val="right"/>
              <w:rPr>
                <w:rFonts w:ascii="Calibri" w:eastAsia="Times New Roman" w:hAnsi="Calibri" w:cs="Arial"/>
                <w:color w:val="000000"/>
                <w:sz w:val="24"/>
                <w:szCs w:val="24"/>
                <w:lang w:eastAsia="en-AU"/>
              </w:rPr>
            </w:pPr>
            <w:r w:rsidRPr="006F2BCD">
              <w:rPr>
                <w:rFonts w:ascii="Calibri" w:eastAsia="Times New Roman" w:hAnsi="Calibri" w:cs="Arial"/>
                <w:color w:val="000000"/>
                <w:sz w:val="24"/>
                <w:szCs w:val="24"/>
                <w:lang w:eastAsia="en-AU"/>
              </w:rPr>
              <w:t> </w:t>
            </w:r>
          </w:p>
        </w:tc>
        <w:tc>
          <w:tcPr>
            <w:tcW w:w="1699" w:type="dxa"/>
            <w:gridSpan w:val="2"/>
            <w:tcBorders>
              <w:top w:val="single" w:sz="8" w:space="0" w:color="auto"/>
              <w:left w:val="single" w:sz="4" w:space="0" w:color="auto"/>
              <w:bottom w:val="single" w:sz="8" w:space="0" w:color="auto"/>
              <w:right w:val="single" w:sz="4" w:space="0" w:color="auto"/>
            </w:tcBorders>
            <w:shd w:val="clear" w:color="000000" w:fill="AEAAAA"/>
            <w:noWrap/>
            <w:vAlign w:val="bottom"/>
            <w:hideMark/>
          </w:tcPr>
          <w:p w:rsidR="00106158" w:rsidRPr="006F2BCD" w:rsidRDefault="00106158" w:rsidP="00106158">
            <w:pPr>
              <w:spacing w:after="0" w:line="240" w:lineRule="auto"/>
              <w:jc w:val="right"/>
              <w:rPr>
                <w:rFonts w:ascii="Calibri" w:eastAsia="Times New Roman" w:hAnsi="Calibri" w:cs="Arial"/>
                <w:color w:val="000000"/>
                <w:sz w:val="24"/>
                <w:szCs w:val="24"/>
                <w:lang w:eastAsia="en-AU"/>
              </w:rPr>
            </w:pPr>
            <w:r w:rsidRPr="006F2BCD">
              <w:rPr>
                <w:rFonts w:ascii="Calibri" w:eastAsia="Times New Roman" w:hAnsi="Calibri" w:cs="Arial"/>
                <w:color w:val="000000"/>
                <w:sz w:val="24"/>
                <w:szCs w:val="24"/>
                <w:lang w:eastAsia="en-AU"/>
              </w:rPr>
              <w:t> </w:t>
            </w:r>
          </w:p>
        </w:tc>
        <w:tc>
          <w:tcPr>
            <w:tcW w:w="1699" w:type="dxa"/>
            <w:tcBorders>
              <w:top w:val="single" w:sz="8" w:space="0" w:color="auto"/>
              <w:left w:val="single" w:sz="4" w:space="0" w:color="auto"/>
              <w:bottom w:val="single" w:sz="8" w:space="0" w:color="auto"/>
              <w:right w:val="single" w:sz="4" w:space="0" w:color="auto"/>
            </w:tcBorders>
            <w:shd w:val="clear" w:color="000000" w:fill="AEAAAA"/>
            <w:noWrap/>
            <w:vAlign w:val="bottom"/>
            <w:hideMark/>
          </w:tcPr>
          <w:p w:rsidR="00106158" w:rsidRPr="006F2BCD" w:rsidRDefault="00106158" w:rsidP="00106158">
            <w:pPr>
              <w:spacing w:after="0" w:line="240" w:lineRule="auto"/>
              <w:jc w:val="right"/>
              <w:rPr>
                <w:rFonts w:ascii="Calibri" w:eastAsia="Times New Roman" w:hAnsi="Calibri" w:cs="Arial"/>
                <w:color w:val="000000"/>
                <w:sz w:val="24"/>
                <w:szCs w:val="24"/>
                <w:lang w:eastAsia="en-AU"/>
              </w:rPr>
            </w:pPr>
            <w:r w:rsidRPr="006F2BCD">
              <w:rPr>
                <w:rFonts w:ascii="Calibri" w:eastAsia="Times New Roman" w:hAnsi="Calibri" w:cs="Arial"/>
                <w:color w:val="000000"/>
                <w:sz w:val="24"/>
                <w:szCs w:val="24"/>
                <w:lang w:eastAsia="en-AU"/>
              </w:rPr>
              <w:t> </w:t>
            </w:r>
          </w:p>
        </w:tc>
      </w:tr>
      <w:tr w:rsidR="00106158" w:rsidRPr="006F2BCD" w:rsidTr="00106158">
        <w:trPr>
          <w:trHeight w:val="261"/>
        </w:trPr>
        <w:tc>
          <w:tcPr>
            <w:tcW w:w="2643" w:type="dxa"/>
            <w:tcBorders>
              <w:top w:val="single" w:sz="4" w:space="0" w:color="FFFFFF"/>
              <w:left w:val="single" w:sz="4" w:space="0" w:color="auto"/>
              <w:bottom w:val="single" w:sz="4" w:space="0" w:color="auto"/>
              <w:right w:val="single" w:sz="4" w:space="0" w:color="auto"/>
            </w:tcBorders>
            <w:shd w:val="clear" w:color="auto" w:fill="5B9BD5" w:themeFill="accent1"/>
            <w:vAlign w:val="center"/>
          </w:tcPr>
          <w:p w:rsidR="00106158" w:rsidRPr="006F2BCD" w:rsidRDefault="00106158" w:rsidP="00106158">
            <w:pPr>
              <w:spacing w:after="0" w:line="240" w:lineRule="auto"/>
              <w:rPr>
                <w:rFonts w:ascii="Calibri" w:eastAsia="Times New Roman" w:hAnsi="Calibri" w:cs="Arial"/>
                <w:b/>
                <w:bCs/>
                <w:color w:val="FFFFFF"/>
                <w:sz w:val="24"/>
                <w:szCs w:val="24"/>
                <w:lang w:eastAsia="en-AU"/>
              </w:rPr>
            </w:pPr>
            <w:r w:rsidRPr="006F2BCD">
              <w:rPr>
                <w:rFonts w:ascii="Calibri" w:eastAsia="Times New Roman" w:hAnsi="Calibri" w:cs="Arial"/>
                <w:b/>
                <w:bCs/>
                <w:color w:val="FFFFFF"/>
                <w:sz w:val="24"/>
                <w:szCs w:val="24"/>
                <w:lang w:eastAsia="en-AU"/>
              </w:rPr>
              <w:t>Estimated value</w:t>
            </w:r>
          </w:p>
        </w:tc>
        <w:tc>
          <w:tcPr>
            <w:tcW w:w="1830" w:type="dxa"/>
            <w:tcBorders>
              <w:top w:val="single" w:sz="4" w:space="0" w:color="FFFFFF"/>
              <w:left w:val="single" w:sz="4" w:space="0" w:color="auto"/>
              <w:bottom w:val="single" w:sz="4" w:space="0" w:color="auto"/>
              <w:right w:val="single" w:sz="4" w:space="0" w:color="auto"/>
            </w:tcBorders>
            <w:shd w:val="clear" w:color="DDEBF7" w:fill="DDEBF7"/>
            <w:noWrap/>
            <w:vAlign w:val="bottom"/>
            <w:hideMark/>
          </w:tcPr>
          <w:p w:rsidR="00106158" w:rsidRPr="006F2BCD" w:rsidRDefault="00106158" w:rsidP="00106158">
            <w:pPr>
              <w:spacing w:after="0" w:line="240" w:lineRule="auto"/>
              <w:jc w:val="right"/>
              <w:rPr>
                <w:rFonts w:ascii="Calibri" w:eastAsia="Times New Roman" w:hAnsi="Calibri" w:cs="Arial"/>
                <w:b/>
                <w:bCs/>
                <w:color w:val="000000"/>
                <w:sz w:val="24"/>
                <w:szCs w:val="24"/>
                <w:lang w:eastAsia="en-AU"/>
              </w:rPr>
            </w:pPr>
            <w:r w:rsidRPr="006F2BCD">
              <w:rPr>
                <w:rFonts w:ascii="Calibri" w:eastAsia="Times New Roman" w:hAnsi="Calibri" w:cs="Arial"/>
                <w:b/>
                <w:bCs/>
                <w:color w:val="000000"/>
                <w:sz w:val="24"/>
                <w:szCs w:val="24"/>
                <w:lang w:eastAsia="en-AU"/>
              </w:rPr>
              <w:t xml:space="preserve"> $            0.68 </w:t>
            </w:r>
          </w:p>
        </w:tc>
        <w:tc>
          <w:tcPr>
            <w:tcW w:w="1698" w:type="dxa"/>
            <w:gridSpan w:val="2"/>
            <w:tcBorders>
              <w:top w:val="single" w:sz="4" w:space="0" w:color="FFFFFF"/>
              <w:left w:val="single" w:sz="4" w:space="0" w:color="auto"/>
              <w:bottom w:val="single" w:sz="4" w:space="0" w:color="auto"/>
              <w:right w:val="single" w:sz="4" w:space="0" w:color="auto"/>
            </w:tcBorders>
            <w:shd w:val="clear" w:color="DDEBF7" w:fill="DDEBF7"/>
            <w:noWrap/>
            <w:vAlign w:val="bottom"/>
            <w:hideMark/>
          </w:tcPr>
          <w:p w:rsidR="00106158" w:rsidRPr="006F2BCD" w:rsidRDefault="00106158" w:rsidP="00106158">
            <w:pPr>
              <w:spacing w:after="0" w:line="240" w:lineRule="auto"/>
              <w:jc w:val="right"/>
              <w:rPr>
                <w:rFonts w:ascii="Calibri" w:eastAsia="Times New Roman" w:hAnsi="Calibri" w:cs="Arial"/>
                <w:b/>
                <w:bCs/>
                <w:color w:val="000000"/>
                <w:sz w:val="24"/>
                <w:szCs w:val="24"/>
                <w:lang w:eastAsia="en-AU"/>
              </w:rPr>
            </w:pPr>
            <w:r w:rsidRPr="006F2BCD">
              <w:rPr>
                <w:rFonts w:ascii="Calibri" w:eastAsia="Times New Roman" w:hAnsi="Calibri" w:cs="Arial"/>
                <w:b/>
                <w:bCs/>
                <w:color w:val="000000"/>
                <w:sz w:val="24"/>
                <w:szCs w:val="24"/>
                <w:lang w:eastAsia="en-AU"/>
              </w:rPr>
              <w:t xml:space="preserve"> $           0.86 </w:t>
            </w:r>
          </w:p>
        </w:tc>
        <w:tc>
          <w:tcPr>
            <w:tcW w:w="1699" w:type="dxa"/>
            <w:gridSpan w:val="2"/>
            <w:tcBorders>
              <w:top w:val="single" w:sz="4" w:space="0" w:color="FFFFFF"/>
              <w:left w:val="single" w:sz="4" w:space="0" w:color="auto"/>
              <w:bottom w:val="single" w:sz="4" w:space="0" w:color="auto"/>
              <w:right w:val="single" w:sz="4" w:space="0" w:color="auto"/>
            </w:tcBorders>
            <w:shd w:val="clear" w:color="DDEBF7" w:fill="DDEBF7"/>
            <w:noWrap/>
            <w:vAlign w:val="bottom"/>
            <w:hideMark/>
          </w:tcPr>
          <w:p w:rsidR="00106158" w:rsidRPr="006F2BCD" w:rsidRDefault="00106158" w:rsidP="00106158">
            <w:pPr>
              <w:spacing w:after="0" w:line="240" w:lineRule="auto"/>
              <w:jc w:val="right"/>
              <w:rPr>
                <w:rFonts w:ascii="Calibri" w:eastAsia="Times New Roman" w:hAnsi="Calibri" w:cs="Arial"/>
                <w:b/>
                <w:bCs/>
                <w:color w:val="000000"/>
                <w:sz w:val="24"/>
                <w:szCs w:val="24"/>
                <w:lang w:eastAsia="en-AU"/>
              </w:rPr>
            </w:pPr>
            <w:r w:rsidRPr="006F2BCD">
              <w:rPr>
                <w:rFonts w:ascii="Calibri" w:eastAsia="Times New Roman" w:hAnsi="Calibri" w:cs="Arial"/>
                <w:b/>
                <w:bCs/>
                <w:color w:val="000000"/>
                <w:sz w:val="24"/>
                <w:szCs w:val="24"/>
                <w:lang w:eastAsia="en-AU"/>
              </w:rPr>
              <w:t xml:space="preserve"> $           0.67 </w:t>
            </w:r>
          </w:p>
        </w:tc>
        <w:tc>
          <w:tcPr>
            <w:tcW w:w="1699" w:type="dxa"/>
            <w:tcBorders>
              <w:top w:val="single" w:sz="4" w:space="0" w:color="FFFFFF"/>
              <w:left w:val="single" w:sz="4" w:space="0" w:color="auto"/>
              <w:bottom w:val="single" w:sz="4" w:space="0" w:color="auto"/>
              <w:right w:val="single" w:sz="4" w:space="0" w:color="auto"/>
            </w:tcBorders>
            <w:shd w:val="clear" w:color="DDEBF7" w:fill="DDEBF7"/>
            <w:noWrap/>
            <w:vAlign w:val="bottom"/>
            <w:hideMark/>
          </w:tcPr>
          <w:p w:rsidR="00106158" w:rsidRPr="006F2BCD" w:rsidRDefault="00106158" w:rsidP="00106158">
            <w:pPr>
              <w:spacing w:after="0" w:line="240" w:lineRule="auto"/>
              <w:jc w:val="right"/>
              <w:rPr>
                <w:rFonts w:ascii="Calibri" w:eastAsia="Times New Roman" w:hAnsi="Calibri" w:cs="Arial"/>
                <w:b/>
                <w:bCs/>
                <w:color w:val="000000"/>
                <w:sz w:val="24"/>
                <w:szCs w:val="24"/>
                <w:lang w:eastAsia="en-AU"/>
              </w:rPr>
            </w:pPr>
            <w:r w:rsidRPr="006F2BCD">
              <w:rPr>
                <w:rFonts w:ascii="Calibri" w:eastAsia="Times New Roman" w:hAnsi="Calibri" w:cs="Arial"/>
                <w:b/>
                <w:bCs/>
                <w:color w:val="000000"/>
                <w:sz w:val="24"/>
                <w:szCs w:val="24"/>
                <w:lang w:eastAsia="en-AU"/>
              </w:rPr>
              <w:t xml:space="preserve"> $            0.87 </w:t>
            </w:r>
          </w:p>
        </w:tc>
      </w:tr>
    </w:tbl>
    <w:p w:rsidR="009851E7" w:rsidRPr="009851E7" w:rsidRDefault="009851E7" w:rsidP="009851E7"/>
    <w:p w:rsidR="009C5454" w:rsidRDefault="009C5454" w:rsidP="009851E7">
      <w:pPr>
        <w:spacing w:line="360" w:lineRule="auto"/>
        <w:rPr>
          <w:sz w:val="24"/>
        </w:rPr>
      </w:pPr>
      <w:r>
        <w:rPr>
          <w:sz w:val="24"/>
        </w:rPr>
        <w:t xml:space="preserve">This sensitivity analysis shows that the share price will fluctuate between the downside of $0.67 per share and upside of $0.87 per share depending on how the economic situation changes. The majority of this fluctuation arises due to the sensitivity of the terminal value on the assumptions of both terminal growth rate and cost of equity. </w:t>
      </w:r>
    </w:p>
    <w:p w:rsidR="009C5454" w:rsidRPr="005B6039" w:rsidRDefault="006F2BCD" w:rsidP="009851E7">
      <w:pPr>
        <w:pStyle w:val="3"/>
        <w:rPr>
          <w:sz w:val="26"/>
          <w:szCs w:val="26"/>
        </w:rPr>
      </w:pPr>
      <w:bookmarkStart w:id="11" w:name="_Toc420625248"/>
      <w:r w:rsidRPr="005B6039">
        <w:rPr>
          <w:sz w:val="26"/>
          <w:szCs w:val="26"/>
        </w:rPr>
        <w:t>Estimated value per share</w:t>
      </w:r>
      <w:bookmarkEnd w:id="11"/>
    </w:p>
    <w:p w:rsidR="005C623A" w:rsidRPr="00CA1414" w:rsidRDefault="009C5454" w:rsidP="009851E7">
      <w:pPr>
        <w:pStyle w:val="3"/>
        <w:rPr>
          <w:u w:val="none"/>
        </w:rPr>
      </w:pPr>
      <w:r>
        <w:rPr>
          <w:u w:val="none"/>
        </w:rPr>
        <w:t xml:space="preserve">As can be seen in the above sections of the company valuation, the share price </w:t>
      </w:r>
      <w:r w:rsidR="009851E7">
        <w:rPr>
          <w:u w:val="none"/>
        </w:rPr>
        <w:t xml:space="preserve">is valued approximately $0.66 - $0.86 per share using the FCF method and $0.67 - $0.87 per share using the AE method. This averages out to be valued $0.67 - $0.87 per share. </w:t>
      </w:r>
      <w:r w:rsidR="009851E7">
        <w:rPr>
          <w:u w:val="none"/>
        </w:rPr>
        <w:br/>
        <w:t xml:space="preserve">Using the companies own nominated terminal growth rate and cost of equity arrives at an average value between FCF and AE methods of </w:t>
      </w:r>
      <w:r w:rsidR="009851E7" w:rsidRPr="009851E7">
        <w:rPr>
          <w:b/>
        </w:rPr>
        <w:t>$0.76</w:t>
      </w:r>
      <w:r w:rsidR="009851E7">
        <w:rPr>
          <w:u w:val="none"/>
        </w:rPr>
        <w:t xml:space="preserve"> per share.</w:t>
      </w:r>
      <w:r w:rsidR="005C623A" w:rsidRPr="00CA1414">
        <w:rPr>
          <w:b/>
          <w:i/>
          <w:color w:val="73A9DB" w:themeColor="accent1" w:themeTint="D9"/>
          <w:sz w:val="44"/>
        </w:rPr>
        <w:br w:type="page"/>
      </w:r>
    </w:p>
    <w:p w:rsidR="00757988" w:rsidRDefault="005C623A" w:rsidP="00BF1DE3">
      <w:pPr>
        <w:pStyle w:val="1"/>
        <w:pBdr>
          <w:bottom w:val="single" w:sz="4" w:space="1" w:color="5B9BD5" w:themeColor="accent1"/>
        </w:pBdr>
        <w:spacing w:line="276" w:lineRule="auto"/>
        <w:rPr>
          <w:color w:val="5B9BD5" w:themeColor="accent1"/>
          <w:sz w:val="44"/>
        </w:rPr>
      </w:pPr>
      <w:bookmarkStart w:id="12" w:name="_Toc420625249"/>
      <w:r w:rsidRPr="005C623A">
        <w:rPr>
          <w:color w:val="5B9BD5" w:themeColor="accent1"/>
          <w:sz w:val="44"/>
        </w:rPr>
        <w:lastRenderedPageBreak/>
        <w:t>Recommendation</w:t>
      </w:r>
      <w:bookmarkEnd w:id="12"/>
    </w:p>
    <w:p w:rsidR="00BF1DE3" w:rsidRDefault="00BF1DE3" w:rsidP="00BF1DE3"/>
    <w:p w:rsidR="006F2BCD" w:rsidRPr="005B6039" w:rsidRDefault="006F2BCD" w:rsidP="00D5397E">
      <w:pPr>
        <w:pStyle w:val="3"/>
        <w:rPr>
          <w:sz w:val="28"/>
        </w:rPr>
      </w:pPr>
      <w:bookmarkStart w:id="13" w:name="_Toc420625250"/>
      <w:r w:rsidRPr="005B6039">
        <w:rPr>
          <w:sz w:val="28"/>
        </w:rPr>
        <w:t>Summary of findings</w:t>
      </w:r>
      <w:bookmarkEnd w:id="13"/>
    </w:p>
    <w:p w:rsidR="006F2BCD" w:rsidRDefault="000410C8" w:rsidP="00D5397E">
      <w:pPr>
        <w:spacing w:line="360" w:lineRule="auto"/>
        <w:rPr>
          <w:sz w:val="24"/>
        </w:rPr>
      </w:pPr>
      <w:r>
        <w:rPr>
          <w:sz w:val="24"/>
        </w:rPr>
        <w:t xml:space="preserve">Fairfax Media is a company operating within the print and digital publishing industries. </w:t>
      </w:r>
      <w:r w:rsidR="00C50D92">
        <w:rPr>
          <w:sz w:val="24"/>
        </w:rPr>
        <w:t xml:space="preserve">In the strategy analysis, </w:t>
      </w:r>
      <w:r>
        <w:rPr>
          <w:sz w:val="24"/>
        </w:rPr>
        <w:t>Porter’s five forces and a competitive strategy analysis</w:t>
      </w:r>
      <w:r w:rsidR="00C50D92">
        <w:rPr>
          <w:sz w:val="24"/>
        </w:rPr>
        <w:t xml:space="preserve"> were undertaken</w:t>
      </w:r>
      <w:r>
        <w:rPr>
          <w:sz w:val="24"/>
        </w:rPr>
        <w:t>,</w:t>
      </w:r>
      <w:r w:rsidR="00C50D92">
        <w:rPr>
          <w:sz w:val="24"/>
        </w:rPr>
        <w:t xml:space="preserve"> and</w:t>
      </w:r>
      <w:r>
        <w:rPr>
          <w:sz w:val="24"/>
        </w:rPr>
        <w:t xml:space="preserve"> it was determined that the print publishing industry has a high collective profitability, but has been in a significant decline over the last few years. On the other hand, the digital publishing industry has a low collective profitability, but has experienced an even more significant growth in the same time. Fairfax’s main strategy over the last couple of years has been to transition away from the dying industry of traditional print publishing and move into the digital space, which it has so far been success in doing through its ownership of a number of news websites, as well as domain.com.au and rsvp.com.au. </w:t>
      </w:r>
    </w:p>
    <w:p w:rsidR="00C50D92" w:rsidRDefault="00C50D92" w:rsidP="00D5397E">
      <w:pPr>
        <w:spacing w:line="360" w:lineRule="auto"/>
        <w:rPr>
          <w:sz w:val="24"/>
        </w:rPr>
      </w:pPr>
      <w:r>
        <w:rPr>
          <w:sz w:val="24"/>
        </w:rPr>
        <w:t>The accounting analysis supported the opportunity for profitability growth due to the importance that is placed on the valuation of intangible assets, which will be a large part of the company due to their digital ventures.</w:t>
      </w:r>
    </w:p>
    <w:p w:rsidR="000410C8" w:rsidRDefault="00C50D92" w:rsidP="00D5397E">
      <w:pPr>
        <w:spacing w:line="360" w:lineRule="auto"/>
        <w:rPr>
          <w:sz w:val="24"/>
        </w:rPr>
      </w:pPr>
      <w:r>
        <w:rPr>
          <w:sz w:val="24"/>
        </w:rPr>
        <w:t>Within the financial analysis, it is evident that their transition has been more successful than that of their print publishing competitors who have attempted to do the same, as their ROE and Net Profit Margins for 2014 were substantially higher.</w:t>
      </w:r>
    </w:p>
    <w:p w:rsidR="00C50D92" w:rsidRPr="000410C8" w:rsidRDefault="00C50D92" w:rsidP="00D5397E">
      <w:pPr>
        <w:spacing w:line="360" w:lineRule="auto"/>
        <w:rPr>
          <w:sz w:val="24"/>
        </w:rPr>
      </w:pPr>
      <w:r>
        <w:rPr>
          <w:sz w:val="24"/>
        </w:rPr>
        <w:t>Overall, the analysis has shown that Fairfax has demonstrated its ability to translate the dominant position held within the traditional print industry into a rapid expansion into the digital publishing industry. It is well position to continue expanding into the digital world, and to benefit from the significant growth of the industry.</w:t>
      </w:r>
    </w:p>
    <w:p w:rsidR="00C50D92" w:rsidRDefault="00C50D92" w:rsidP="00D5397E">
      <w:pPr>
        <w:pStyle w:val="3"/>
        <w:rPr>
          <w:sz w:val="28"/>
        </w:rPr>
      </w:pPr>
      <w:bookmarkStart w:id="14" w:name="_Toc420625251"/>
    </w:p>
    <w:p w:rsidR="00C50D92" w:rsidRDefault="00C50D92" w:rsidP="00D5397E">
      <w:pPr>
        <w:pStyle w:val="3"/>
        <w:rPr>
          <w:sz w:val="28"/>
        </w:rPr>
      </w:pPr>
    </w:p>
    <w:p w:rsidR="00C50D92" w:rsidRDefault="00C50D92" w:rsidP="00D5397E">
      <w:pPr>
        <w:pStyle w:val="3"/>
        <w:rPr>
          <w:sz w:val="28"/>
        </w:rPr>
      </w:pPr>
    </w:p>
    <w:p w:rsidR="00C50D92" w:rsidRDefault="00C50D92" w:rsidP="00D5397E">
      <w:pPr>
        <w:pStyle w:val="3"/>
        <w:rPr>
          <w:sz w:val="28"/>
        </w:rPr>
      </w:pPr>
    </w:p>
    <w:p w:rsidR="00C50D92" w:rsidRDefault="00C50D92" w:rsidP="00D5397E">
      <w:pPr>
        <w:pStyle w:val="3"/>
        <w:rPr>
          <w:sz w:val="28"/>
        </w:rPr>
      </w:pPr>
    </w:p>
    <w:p w:rsidR="006F2BCD" w:rsidRDefault="006F2BCD" w:rsidP="00D5397E">
      <w:pPr>
        <w:pStyle w:val="3"/>
        <w:rPr>
          <w:sz w:val="28"/>
        </w:rPr>
      </w:pPr>
      <w:r w:rsidRPr="005B6039">
        <w:rPr>
          <w:sz w:val="28"/>
        </w:rPr>
        <w:lastRenderedPageBreak/>
        <w:t>Final Recommendation</w:t>
      </w:r>
      <w:bookmarkEnd w:id="14"/>
    </w:p>
    <w:p w:rsidR="00D5397E" w:rsidRDefault="005B6039" w:rsidP="00D5397E">
      <w:pPr>
        <w:spacing w:line="360" w:lineRule="auto"/>
        <w:rPr>
          <w:sz w:val="24"/>
        </w:rPr>
      </w:pPr>
      <w:r>
        <w:rPr>
          <w:sz w:val="24"/>
        </w:rPr>
        <w:t>According to the ASX</w:t>
      </w:r>
      <w:r w:rsidR="00D5397E">
        <w:rPr>
          <w:sz w:val="24"/>
        </w:rPr>
        <w:t xml:space="preserve"> (2015)</w:t>
      </w:r>
      <w:r>
        <w:rPr>
          <w:sz w:val="24"/>
        </w:rPr>
        <w:t>,</w:t>
      </w:r>
      <w:r w:rsidR="00D5397E">
        <w:rPr>
          <w:sz w:val="24"/>
        </w:rPr>
        <w:t xml:space="preserve"> the current market value of Fairfax Media shares is $1.022. In comparison to the estimated value per share of $0.76 using the FCF and AE methods, it can be seen that the market is overvaluing Fairfax Media and its forecasted performance. The reason these shares are overvalued could be a result of Fairfax’s poor financial performance over the last few years due to the decline of the print publishing industry, but investors having confidence that the media giant will have the resources to turn </w:t>
      </w:r>
      <w:proofErr w:type="gramStart"/>
      <w:r w:rsidR="00D5397E">
        <w:rPr>
          <w:sz w:val="24"/>
        </w:rPr>
        <w:t>itself</w:t>
      </w:r>
      <w:proofErr w:type="gramEnd"/>
      <w:r w:rsidR="00D5397E">
        <w:rPr>
          <w:sz w:val="24"/>
        </w:rPr>
        <w:t xml:space="preserve"> around and implement their digital strategy successfully. This may have resulted in investors choosing not to sell their shares, as they expect Fairfax to do much better financially in the future over it is doing right now. </w:t>
      </w:r>
    </w:p>
    <w:p w:rsidR="005B6039" w:rsidRPr="005B6039" w:rsidRDefault="00D5397E" w:rsidP="00D5397E">
      <w:pPr>
        <w:spacing w:line="360" w:lineRule="auto"/>
        <w:rPr>
          <w:sz w:val="24"/>
        </w:rPr>
      </w:pPr>
      <w:r>
        <w:rPr>
          <w:sz w:val="24"/>
        </w:rPr>
        <w:t>The share price has continued to increase in the long-term even after the many years of financial decline. This gives an indication of the hope that investors have in Fairfax’s ability to generate cash flows in the future. Due to this, and due to the findings in the Strategy, Accounting and Financial analysis of Fairfax, it is recommended that shares be bought in Fairfax in order to benefit from their future financial success through digital media</w:t>
      </w:r>
      <w:r w:rsidR="00C50D92">
        <w:rPr>
          <w:sz w:val="24"/>
        </w:rPr>
        <w:t xml:space="preserve"> ventures</w:t>
      </w:r>
      <w:r>
        <w:rPr>
          <w:sz w:val="24"/>
        </w:rPr>
        <w:t>.</w:t>
      </w:r>
    </w:p>
    <w:p w:rsidR="005E6BF9" w:rsidRDefault="00593005">
      <w:pPr>
        <w:rPr>
          <w:sz w:val="24"/>
        </w:rPr>
      </w:pPr>
      <w:r>
        <w:rPr>
          <w:sz w:val="24"/>
        </w:rPr>
        <w:br w:type="page"/>
      </w:r>
      <w:r w:rsidR="00C50D92">
        <w:rPr>
          <w:sz w:val="24"/>
        </w:rPr>
        <w:lastRenderedPageBreak/>
        <w:br w:type="page"/>
      </w:r>
      <w:r w:rsidR="005E6BF9">
        <w:rPr>
          <w:sz w:val="24"/>
        </w:rPr>
        <w:lastRenderedPageBreak/>
        <w:br w:type="page"/>
      </w:r>
    </w:p>
    <w:p w:rsidR="00593005" w:rsidRDefault="008223F6">
      <w:pPr>
        <w:rPr>
          <w:sz w:val="24"/>
        </w:rPr>
      </w:pPr>
      <w:r>
        <w:rPr>
          <w:sz w:val="24"/>
        </w:rPr>
        <w:lastRenderedPageBreak/>
        <w:br w:type="page"/>
      </w:r>
    </w:p>
    <w:p w:rsidR="00BF1DE3" w:rsidRDefault="009C5454" w:rsidP="00593005">
      <w:pPr>
        <w:pStyle w:val="1"/>
        <w:pBdr>
          <w:bottom w:val="single" w:sz="4" w:space="1" w:color="5B9BD5" w:themeColor="accent1"/>
        </w:pBdr>
        <w:rPr>
          <w:sz w:val="44"/>
        </w:rPr>
      </w:pPr>
      <w:r>
        <w:rPr>
          <w:sz w:val="44"/>
        </w:rPr>
        <w:lastRenderedPageBreak/>
        <w:t>Bibliography</w:t>
      </w:r>
    </w:p>
    <w:p w:rsidR="009C5454" w:rsidRDefault="009C5454" w:rsidP="009C5454"/>
    <w:p w:rsidR="005B6039" w:rsidRPr="00D5397E" w:rsidRDefault="00D5397E" w:rsidP="009C5454">
      <w:pPr>
        <w:rPr>
          <w:rStyle w:val="selectable"/>
          <w:sz w:val="24"/>
        </w:rPr>
      </w:pPr>
      <w:proofErr w:type="gramStart"/>
      <w:r w:rsidRPr="00D5397E">
        <w:rPr>
          <w:rStyle w:val="selectable"/>
          <w:sz w:val="24"/>
        </w:rPr>
        <w:t>Asx.com.au, (2015).</w:t>
      </w:r>
      <w:proofErr w:type="gramEnd"/>
      <w:r w:rsidRPr="00D5397E">
        <w:rPr>
          <w:rStyle w:val="selectable"/>
          <w:sz w:val="24"/>
        </w:rPr>
        <w:t xml:space="preserve"> </w:t>
      </w:r>
      <w:proofErr w:type="gramStart"/>
      <w:r w:rsidRPr="00D5397E">
        <w:rPr>
          <w:rStyle w:val="selectable"/>
          <w:i/>
          <w:iCs/>
          <w:sz w:val="24"/>
        </w:rPr>
        <w:t>Fairfax Media Limited (FXJ) Share Price &amp; Information</w:t>
      </w:r>
      <w:r w:rsidRPr="00D5397E">
        <w:rPr>
          <w:rStyle w:val="selectable"/>
          <w:sz w:val="24"/>
        </w:rPr>
        <w:t>.</w:t>
      </w:r>
      <w:proofErr w:type="gramEnd"/>
      <w:r w:rsidRPr="00D5397E">
        <w:rPr>
          <w:rStyle w:val="selectable"/>
          <w:sz w:val="24"/>
        </w:rPr>
        <w:t xml:space="preserve"> Available at: http://www.asx.com.au/asx/research/company.do#!/FXJ [Accessed 27 May 2015].</w:t>
      </w:r>
    </w:p>
    <w:p w:rsidR="009C5454" w:rsidRPr="00D5397E" w:rsidRDefault="009C5454" w:rsidP="009C5454">
      <w:pPr>
        <w:rPr>
          <w:sz w:val="28"/>
        </w:rPr>
      </w:pPr>
      <w:proofErr w:type="gramStart"/>
      <w:r w:rsidRPr="00D5397E">
        <w:rPr>
          <w:rStyle w:val="selectable"/>
          <w:sz w:val="24"/>
        </w:rPr>
        <w:t>Fairfax Media, (2014).</w:t>
      </w:r>
      <w:proofErr w:type="gramEnd"/>
      <w:r w:rsidRPr="00D5397E">
        <w:rPr>
          <w:rStyle w:val="selectable"/>
          <w:sz w:val="24"/>
        </w:rPr>
        <w:t xml:space="preserve"> </w:t>
      </w:r>
      <w:proofErr w:type="gramStart"/>
      <w:r w:rsidRPr="00D5397E">
        <w:rPr>
          <w:rStyle w:val="selectable"/>
          <w:i/>
          <w:iCs/>
          <w:sz w:val="24"/>
        </w:rPr>
        <w:t>Annual Report 2014</w:t>
      </w:r>
      <w:r w:rsidR="00D5397E">
        <w:rPr>
          <w:rStyle w:val="selectable"/>
          <w:sz w:val="24"/>
        </w:rPr>
        <w:t>.</w:t>
      </w:r>
      <w:proofErr w:type="gramEnd"/>
      <w:r w:rsidR="00D5397E">
        <w:rPr>
          <w:rStyle w:val="selectable"/>
          <w:sz w:val="24"/>
        </w:rPr>
        <w:t xml:space="preserve"> </w:t>
      </w:r>
      <w:r w:rsidRPr="00D5397E">
        <w:rPr>
          <w:rStyle w:val="selectable"/>
          <w:sz w:val="24"/>
        </w:rPr>
        <w:t>Available at: http://www.fairfaxmedia.com.au/ArticleDocuments/191/2014%20FAIRFAX%20Annual%20Report.pdf.aspx?Embed=Y [Accessed 25 May 2015].</w:t>
      </w:r>
    </w:p>
    <w:sectPr w:rsidR="009C5454" w:rsidRPr="00D5397E" w:rsidSect="005C623A">
      <w:headerReference w:type="default" r:id="rId10"/>
      <w:footerReference w:type="default" r:id="rId11"/>
      <w:pgSz w:w="11906" w:h="16838"/>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E41" w:rsidRDefault="007D4E41" w:rsidP="005C623A">
      <w:pPr>
        <w:spacing w:after="0" w:line="240" w:lineRule="auto"/>
      </w:pPr>
      <w:r>
        <w:separator/>
      </w:r>
    </w:p>
  </w:endnote>
  <w:endnote w:type="continuationSeparator" w:id="0">
    <w:p w:rsidR="007D4E41" w:rsidRDefault="007D4E41" w:rsidP="005C6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2678210"/>
      <w:docPartObj>
        <w:docPartGallery w:val="Page Numbers (Bottom of Page)"/>
        <w:docPartUnique/>
      </w:docPartObj>
    </w:sdtPr>
    <w:sdtEndPr>
      <w:rPr>
        <w:color w:val="7F7F7F" w:themeColor="background1" w:themeShade="7F"/>
        <w:spacing w:val="60"/>
      </w:rPr>
    </w:sdtEndPr>
    <w:sdtContent>
      <w:p w:rsidR="009C5454" w:rsidRDefault="009C5454">
        <w:pPr>
          <w:pStyle w:val="a5"/>
          <w:pBdr>
            <w:top w:val="single" w:sz="4" w:space="1" w:color="D9D9D9" w:themeColor="background1" w:themeShade="D9"/>
          </w:pBdr>
          <w:jc w:val="right"/>
        </w:pPr>
        <w:r>
          <w:fldChar w:fldCharType="begin"/>
        </w:r>
        <w:r>
          <w:instrText xml:space="preserve"> PAGE   \* MERGEFORMAT </w:instrText>
        </w:r>
        <w:r>
          <w:fldChar w:fldCharType="separate"/>
        </w:r>
        <w:r w:rsidR="006266AF">
          <w:rPr>
            <w:noProof/>
          </w:rPr>
          <w:t>2</w:t>
        </w:r>
        <w:r>
          <w:rPr>
            <w:noProof/>
          </w:rPr>
          <w:fldChar w:fldCharType="end"/>
        </w:r>
        <w:r>
          <w:t xml:space="preserve"> | </w:t>
        </w:r>
        <w:r>
          <w:rPr>
            <w:color w:val="7F7F7F" w:themeColor="background1" w:themeShade="7F"/>
            <w:spacing w:val="60"/>
          </w:rPr>
          <w:t>Page</w:t>
        </w:r>
      </w:p>
    </w:sdtContent>
  </w:sdt>
  <w:p w:rsidR="009C5454" w:rsidRDefault="009C545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E41" w:rsidRDefault="007D4E41" w:rsidP="005C623A">
      <w:pPr>
        <w:spacing w:after="0" w:line="240" w:lineRule="auto"/>
      </w:pPr>
      <w:r>
        <w:separator/>
      </w:r>
    </w:p>
  </w:footnote>
  <w:footnote w:type="continuationSeparator" w:id="0">
    <w:p w:rsidR="007D4E41" w:rsidRDefault="007D4E41" w:rsidP="005C62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454" w:rsidRDefault="009C5454">
    <w:pPr>
      <w:pStyle w:val="a4"/>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D63B4"/>
    <w:multiLevelType w:val="hybridMultilevel"/>
    <w:tmpl w:val="813EA9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22CF2A37"/>
    <w:multiLevelType w:val="hybridMultilevel"/>
    <w:tmpl w:val="2736C7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9B00678"/>
    <w:multiLevelType w:val="hybridMultilevel"/>
    <w:tmpl w:val="ADBEE2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23A"/>
    <w:rsid w:val="000410C8"/>
    <w:rsid w:val="00084896"/>
    <w:rsid w:val="00106158"/>
    <w:rsid w:val="002F7FD5"/>
    <w:rsid w:val="003C7B5C"/>
    <w:rsid w:val="004A7D53"/>
    <w:rsid w:val="00593005"/>
    <w:rsid w:val="005B6039"/>
    <w:rsid w:val="005C623A"/>
    <w:rsid w:val="005E6BF9"/>
    <w:rsid w:val="006266AF"/>
    <w:rsid w:val="006F2BCD"/>
    <w:rsid w:val="00757988"/>
    <w:rsid w:val="00781B94"/>
    <w:rsid w:val="007D4E41"/>
    <w:rsid w:val="008223F6"/>
    <w:rsid w:val="00855D33"/>
    <w:rsid w:val="00945FF5"/>
    <w:rsid w:val="00957916"/>
    <w:rsid w:val="009851E7"/>
    <w:rsid w:val="009C5454"/>
    <w:rsid w:val="00A11068"/>
    <w:rsid w:val="00A33AD5"/>
    <w:rsid w:val="00B40BCA"/>
    <w:rsid w:val="00BF1DE3"/>
    <w:rsid w:val="00C50D92"/>
    <w:rsid w:val="00CA1414"/>
    <w:rsid w:val="00CD29B4"/>
    <w:rsid w:val="00CD7FE0"/>
    <w:rsid w:val="00D5397E"/>
    <w:rsid w:val="00DA3172"/>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5C623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593005"/>
    <w:pPr>
      <w:keepNext/>
      <w:keepLines/>
      <w:spacing w:before="40" w:after="0" w:line="360" w:lineRule="auto"/>
      <w:outlineLvl w:val="1"/>
    </w:pPr>
    <w:rPr>
      <w:rFonts w:eastAsiaTheme="majorEastAsia" w:cstheme="majorBidi"/>
      <w:b/>
      <w:i/>
      <w:color w:val="262626" w:themeColor="text1" w:themeTint="D9"/>
      <w:sz w:val="32"/>
      <w:szCs w:val="26"/>
    </w:rPr>
  </w:style>
  <w:style w:type="paragraph" w:styleId="3">
    <w:name w:val="heading 3"/>
    <w:basedOn w:val="a"/>
    <w:next w:val="a"/>
    <w:link w:val="3Char"/>
    <w:uiPriority w:val="9"/>
    <w:unhideWhenUsed/>
    <w:qFormat/>
    <w:rsid w:val="00593005"/>
    <w:pPr>
      <w:spacing w:line="360" w:lineRule="auto"/>
      <w:outlineLvl w:val="2"/>
    </w:pPr>
    <w:rPr>
      <w:color w:val="262626" w:themeColor="text1" w:themeTint="D9"/>
      <w:sz w:val="24"/>
      <w:szCs w:val="24"/>
      <w:u w:val="single"/>
    </w:rPr>
  </w:style>
  <w:style w:type="paragraph" w:styleId="4">
    <w:name w:val="heading 4"/>
    <w:basedOn w:val="a"/>
    <w:next w:val="a"/>
    <w:link w:val="4Char"/>
    <w:uiPriority w:val="9"/>
    <w:unhideWhenUsed/>
    <w:qFormat/>
    <w:rsid w:val="00593005"/>
    <w:pPr>
      <w:spacing w:line="360" w:lineRule="auto"/>
      <w:outlineLvl w:val="3"/>
    </w:pPr>
    <w:rPr>
      <w:b/>
      <w:color w:val="262626" w:themeColor="text1" w:themeTint="D9"/>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5C623A"/>
    <w:pPr>
      <w:spacing w:after="0" w:line="240" w:lineRule="auto"/>
    </w:pPr>
    <w:rPr>
      <w:lang w:val="en-US"/>
    </w:rPr>
  </w:style>
  <w:style w:type="character" w:customStyle="1" w:styleId="Char">
    <w:name w:val="간격 없음 Char"/>
    <w:basedOn w:val="a0"/>
    <w:link w:val="a3"/>
    <w:uiPriority w:val="1"/>
    <w:rsid w:val="005C623A"/>
    <w:rPr>
      <w:rFonts w:eastAsiaTheme="minorEastAsia"/>
      <w:lang w:val="en-US"/>
    </w:rPr>
  </w:style>
  <w:style w:type="paragraph" w:styleId="a4">
    <w:name w:val="header"/>
    <w:basedOn w:val="a"/>
    <w:link w:val="Char0"/>
    <w:uiPriority w:val="99"/>
    <w:unhideWhenUsed/>
    <w:rsid w:val="005C623A"/>
    <w:pPr>
      <w:tabs>
        <w:tab w:val="center" w:pos="4513"/>
        <w:tab w:val="right" w:pos="9026"/>
      </w:tabs>
      <w:spacing w:after="0" w:line="240" w:lineRule="auto"/>
    </w:pPr>
  </w:style>
  <w:style w:type="character" w:customStyle="1" w:styleId="Char0">
    <w:name w:val="머리글 Char"/>
    <w:basedOn w:val="a0"/>
    <w:link w:val="a4"/>
    <w:uiPriority w:val="99"/>
    <w:rsid w:val="005C623A"/>
  </w:style>
  <w:style w:type="paragraph" w:styleId="a5">
    <w:name w:val="footer"/>
    <w:basedOn w:val="a"/>
    <w:link w:val="Char1"/>
    <w:uiPriority w:val="99"/>
    <w:unhideWhenUsed/>
    <w:rsid w:val="005C623A"/>
    <w:pPr>
      <w:tabs>
        <w:tab w:val="center" w:pos="4513"/>
        <w:tab w:val="right" w:pos="9026"/>
      </w:tabs>
      <w:spacing w:after="0" w:line="240" w:lineRule="auto"/>
    </w:pPr>
  </w:style>
  <w:style w:type="character" w:customStyle="1" w:styleId="Char1">
    <w:name w:val="바닥글 Char"/>
    <w:basedOn w:val="a0"/>
    <w:link w:val="a5"/>
    <w:uiPriority w:val="99"/>
    <w:rsid w:val="005C623A"/>
  </w:style>
  <w:style w:type="character" w:customStyle="1" w:styleId="1Char">
    <w:name w:val="제목 1 Char"/>
    <w:basedOn w:val="a0"/>
    <w:link w:val="1"/>
    <w:uiPriority w:val="9"/>
    <w:rsid w:val="005C623A"/>
    <w:rPr>
      <w:rFonts w:asciiTheme="majorHAnsi" w:eastAsiaTheme="majorEastAsia" w:hAnsiTheme="majorHAnsi" w:cstheme="majorBidi"/>
      <w:color w:val="2E74B5" w:themeColor="accent1" w:themeShade="BF"/>
      <w:sz w:val="32"/>
      <w:szCs w:val="32"/>
    </w:rPr>
  </w:style>
  <w:style w:type="paragraph" w:styleId="TOC">
    <w:name w:val="TOC Heading"/>
    <w:basedOn w:val="1"/>
    <w:next w:val="a"/>
    <w:uiPriority w:val="39"/>
    <w:unhideWhenUsed/>
    <w:qFormat/>
    <w:rsid w:val="005C623A"/>
    <w:pPr>
      <w:outlineLvl w:val="9"/>
    </w:pPr>
    <w:rPr>
      <w:lang w:val="en-US"/>
    </w:rPr>
  </w:style>
  <w:style w:type="paragraph" w:styleId="20">
    <w:name w:val="toc 2"/>
    <w:basedOn w:val="a"/>
    <w:next w:val="a"/>
    <w:autoRedefine/>
    <w:uiPriority w:val="39"/>
    <w:unhideWhenUsed/>
    <w:rsid w:val="00593005"/>
    <w:pPr>
      <w:tabs>
        <w:tab w:val="right" w:leader="dot" w:pos="9016"/>
      </w:tabs>
      <w:spacing w:after="100"/>
      <w:ind w:left="720"/>
    </w:pPr>
    <w:rPr>
      <w:rFonts w:cs="Times New Roman"/>
      <w:lang w:val="en-US"/>
    </w:rPr>
  </w:style>
  <w:style w:type="paragraph" w:styleId="10">
    <w:name w:val="toc 1"/>
    <w:basedOn w:val="a"/>
    <w:next w:val="a"/>
    <w:autoRedefine/>
    <w:uiPriority w:val="39"/>
    <w:unhideWhenUsed/>
    <w:rsid w:val="00BF1DE3"/>
    <w:pPr>
      <w:tabs>
        <w:tab w:val="right" w:leader="dot" w:pos="9016"/>
      </w:tabs>
      <w:spacing w:after="100"/>
    </w:pPr>
    <w:rPr>
      <w:rFonts w:cs="Times New Roman"/>
      <w:b/>
      <w:noProof/>
      <w:color w:val="262626" w:themeColor="text1" w:themeTint="D9"/>
      <w:lang w:val="en-US"/>
    </w:rPr>
  </w:style>
  <w:style w:type="paragraph" w:styleId="30">
    <w:name w:val="toc 3"/>
    <w:basedOn w:val="a"/>
    <w:next w:val="a"/>
    <w:autoRedefine/>
    <w:uiPriority w:val="39"/>
    <w:unhideWhenUsed/>
    <w:rsid w:val="005C623A"/>
    <w:pPr>
      <w:spacing w:after="100"/>
      <w:ind w:left="440"/>
    </w:pPr>
    <w:rPr>
      <w:rFonts w:cs="Times New Roman"/>
      <w:lang w:val="en-US"/>
    </w:rPr>
  </w:style>
  <w:style w:type="character" w:customStyle="1" w:styleId="2Char">
    <w:name w:val="제목 2 Char"/>
    <w:basedOn w:val="a0"/>
    <w:link w:val="2"/>
    <w:uiPriority w:val="9"/>
    <w:rsid w:val="00593005"/>
    <w:rPr>
      <w:rFonts w:eastAsiaTheme="majorEastAsia" w:cstheme="majorBidi"/>
      <w:b/>
      <w:i/>
      <w:color w:val="262626" w:themeColor="text1" w:themeTint="D9"/>
      <w:sz w:val="32"/>
      <w:szCs w:val="26"/>
    </w:rPr>
  </w:style>
  <w:style w:type="paragraph" w:styleId="a6">
    <w:name w:val="List Paragraph"/>
    <w:basedOn w:val="a"/>
    <w:uiPriority w:val="34"/>
    <w:qFormat/>
    <w:rsid w:val="00CA1414"/>
    <w:pPr>
      <w:ind w:left="720"/>
      <w:contextualSpacing/>
    </w:pPr>
  </w:style>
  <w:style w:type="character" w:styleId="a7">
    <w:name w:val="Hyperlink"/>
    <w:basedOn w:val="a0"/>
    <w:uiPriority w:val="99"/>
    <w:unhideWhenUsed/>
    <w:rsid w:val="00BF1DE3"/>
    <w:rPr>
      <w:color w:val="0563C1" w:themeColor="hyperlink"/>
      <w:u w:val="single"/>
    </w:rPr>
  </w:style>
  <w:style w:type="character" w:styleId="a8">
    <w:name w:val="Placeholder Text"/>
    <w:basedOn w:val="a0"/>
    <w:uiPriority w:val="99"/>
    <w:semiHidden/>
    <w:rsid w:val="002F7FD5"/>
    <w:rPr>
      <w:color w:val="808080"/>
    </w:rPr>
  </w:style>
  <w:style w:type="character" w:customStyle="1" w:styleId="3Char">
    <w:name w:val="제목 3 Char"/>
    <w:basedOn w:val="a0"/>
    <w:link w:val="3"/>
    <w:uiPriority w:val="9"/>
    <w:rsid w:val="00593005"/>
    <w:rPr>
      <w:color w:val="262626" w:themeColor="text1" w:themeTint="D9"/>
      <w:sz w:val="24"/>
      <w:szCs w:val="24"/>
      <w:u w:val="single"/>
    </w:rPr>
  </w:style>
  <w:style w:type="character" w:customStyle="1" w:styleId="4Char">
    <w:name w:val="제목 4 Char"/>
    <w:basedOn w:val="a0"/>
    <w:link w:val="4"/>
    <w:uiPriority w:val="9"/>
    <w:rsid w:val="00593005"/>
    <w:rPr>
      <w:b/>
      <w:color w:val="262626" w:themeColor="text1" w:themeTint="D9"/>
      <w:sz w:val="24"/>
    </w:rPr>
  </w:style>
  <w:style w:type="table" w:customStyle="1" w:styleId="GridTable5DarkAccent6">
    <w:name w:val="Grid Table 5 Dark Accent 6"/>
    <w:basedOn w:val="a1"/>
    <w:uiPriority w:val="50"/>
    <w:rsid w:val="00084896"/>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5DarkAccent1">
    <w:name w:val="Grid Table 5 Dark Accent 1"/>
    <w:basedOn w:val="a1"/>
    <w:uiPriority w:val="50"/>
    <w:rsid w:val="00CD7FE0"/>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selectable">
    <w:name w:val="selectable"/>
    <w:basedOn w:val="a0"/>
    <w:rsid w:val="009C5454"/>
  </w:style>
  <w:style w:type="paragraph" w:styleId="a9">
    <w:name w:val="Balloon Text"/>
    <w:basedOn w:val="a"/>
    <w:link w:val="Char2"/>
    <w:uiPriority w:val="99"/>
    <w:semiHidden/>
    <w:unhideWhenUsed/>
    <w:rsid w:val="006266AF"/>
    <w:pPr>
      <w:spacing w:after="0" w:line="240" w:lineRule="auto"/>
    </w:pPr>
    <w:rPr>
      <w:rFonts w:asciiTheme="majorHAnsi" w:eastAsiaTheme="majorEastAsia" w:hAnsiTheme="majorHAnsi" w:cstheme="majorBidi"/>
      <w:sz w:val="18"/>
      <w:szCs w:val="18"/>
    </w:rPr>
  </w:style>
  <w:style w:type="character" w:customStyle="1" w:styleId="Char2">
    <w:name w:val="풍선 도움말 텍스트 Char"/>
    <w:basedOn w:val="a0"/>
    <w:link w:val="a9"/>
    <w:uiPriority w:val="99"/>
    <w:semiHidden/>
    <w:rsid w:val="006266AF"/>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5C623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593005"/>
    <w:pPr>
      <w:keepNext/>
      <w:keepLines/>
      <w:spacing w:before="40" w:after="0" w:line="360" w:lineRule="auto"/>
      <w:outlineLvl w:val="1"/>
    </w:pPr>
    <w:rPr>
      <w:rFonts w:eastAsiaTheme="majorEastAsia" w:cstheme="majorBidi"/>
      <w:b/>
      <w:i/>
      <w:color w:val="262626" w:themeColor="text1" w:themeTint="D9"/>
      <w:sz w:val="32"/>
      <w:szCs w:val="26"/>
    </w:rPr>
  </w:style>
  <w:style w:type="paragraph" w:styleId="3">
    <w:name w:val="heading 3"/>
    <w:basedOn w:val="a"/>
    <w:next w:val="a"/>
    <w:link w:val="3Char"/>
    <w:uiPriority w:val="9"/>
    <w:unhideWhenUsed/>
    <w:qFormat/>
    <w:rsid w:val="00593005"/>
    <w:pPr>
      <w:spacing w:line="360" w:lineRule="auto"/>
      <w:outlineLvl w:val="2"/>
    </w:pPr>
    <w:rPr>
      <w:color w:val="262626" w:themeColor="text1" w:themeTint="D9"/>
      <w:sz w:val="24"/>
      <w:szCs w:val="24"/>
      <w:u w:val="single"/>
    </w:rPr>
  </w:style>
  <w:style w:type="paragraph" w:styleId="4">
    <w:name w:val="heading 4"/>
    <w:basedOn w:val="a"/>
    <w:next w:val="a"/>
    <w:link w:val="4Char"/>
    <w:uiPriority w:val="9"/>
    <w:unhideWhenUsed/>
    <w:qFormat/>
    <w:rsid w:val="00593005"/>
    <w:pPr>
      <w:spacing w:line="360" w:lineRule="auto"/>
      <w:outlineLvl w:val="3"/>
    </w:pPr>
    <w:rPr>
      <w:b/>
      <w:color w:val="262626" w:themeColor="text1" w:themeTint="D9"/>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5C623A"/>
    <w:pPr>
      <w:spacing w:after="0" w:line="240" w:lineRule="auto"/>
    </w:pPr>
    <w:rPr>
      <w:lang w:val="en-US"/>
    </w:rPr>
  </w:style>
  <w:style w:type="character" w:customStyle="1" w:styleId="Char">
    <w:name w:val="간격 없음 Char"/>
    <w:basedOn w:val="a0"/>
    <w:link w:val="a3"/>
    <w:uiPriority w:val="1"/>
    <w:rsid w:val="005C623A"/>
    <w:rPr>
      <w:rFonts w:eastAsiaTheme="minorEastAsia"/>
      <w:lang w:val="en-US"/>
    </w:rPr>
  </w:style>
  <w:style w:type="paragraph" w:styleId="a4">
    <w:name w:val="header"/>
    <w:basedOn w:val="a"/>
    <w:link w:val="Char0"/>
    <w:uiPriority w:val="99"/>
    <w:unhideWhenUsed/>
    <w:rsid w:val="005C623A"/>
    <w:pPr>
      <w:tabs>
        <w:tab w:val="center" w:pos="4513"/>
        <w:tab w:val="right" w:pos="9026"/>
      </w:tabs>
      <w:spacing w:after="0" w:line="240" w:lineRule="auto"/>
    </w:pPr>
  </w:style>
  <w:style w:type="character" w:customStyle="1" w:styleId="Char0">
    <w:name w:val="머리글 Char"/>
    <w:basedOn w:val="a0"/>
    <w:link w:val="a4"/>
    <w:uiPriority w:val="99"/>
    <w:rsid w:val="005C623A"/>
  </w:style>
  <w:style w:type="paragraph" w:styleId="a5">
    <w:name w:val="footer"/>
    <w:basedOn w:val="a"/>
    <w:link w:val="Char1"/>
    <w:uiPriority w:val="99"/>
    <w:unhideWhenUsed/>
    <w:rsid w:val="005C623A"/>
    <w:pPr>
      <w:tabs>
        <w:tab w:val="center" w:pos="4513"/>
        <w:tab w:val="right" w:pos="9026"/>
      </w:tabs>
      <w:spacing w:after="0" w:line="240" w:lineRule="auto"/>
    </w:pPr>
  </w:style>
  <w:style w:type="character" w:customStyle="1" w:styleId="Char1">
    <w:name w:val="바닥글 Char"/>
    <w:basedOn w:val="a0"/>
    <w:link w:val="a5"/>
    <w:uiPriority w:val="99"/>
    <w:rsid w:val="005C623A"/>
  </w:style>
  <w:style w:type="character" w:customStyle="1" w:styleId="1Char">
    <w:name w:val="제목 1 Char"/>
    <w:basedOn w:val="a0"/>
    <w:link w:val="1"/>
    <w:uiPriority w:val="9"/>
    <w:rsid w:val="005C623A"/>
    <w:rPr>
      <w:rFonts w:asciiTheme="majorHAnsi" w:eastAsiaTheme="majorEastAsia" w:hAnsiTheme="majorHAnsi" w:cstheme="majorBidi"/>
      <w:color w:val="2E74B5" w:themeColor="accent1" w:themeShade="BF"/>
      <w:sz w:val="32"/>
      <w:szCs w:val="32"/>
    </w:rPr>
  </w:style>
  <w:style w:type="paragraph" w:styleId="TOC">
    <w:name w:val="TOC Heading"/>
    <w:basedOn w:val="1"/>
    <w:next w:val="a"/>
    <w:uiPriority w:val="39"/>
    <w:unhideWhenUsed/>
    <w:qFormat/>
    <w:rsid w:val="005C623A"/>
    <w:pPr>
      <w:outlineLvl w:val="9"/>
    </w:pPr>
    <w:rPr>
      <w:lang w:val="en-US"/>
    </w:rPr>
  </w:style>
  <w:style w:type="paragraph" w:styleId="20">
    <w:name w:val="toc 2"/>
    <w:basedOn w:val="a"/>
    <w:next w:val="a"/>
    <w:autoRedefine/>
    <w:uiPriority w:val="39"/>
    <w:unhideWhenUsed/>
    <w:rsid w:val="00593005"/>
    <w:pPr>
      <w:tabs>
        <w:tab w:val="right" w:leader="dot" w:pos="9016"/>
      </w:tabs>
      <w:spacing w:after="100"/>
      <w:ind w:left="720"/>
    </w:pPr>
    <w:rPr>
      <w:rFonts w:cs="Times New Roman"/>
      <w:lang w:val="en-US"/>
    </w:rPr>
  </w:style>
  <w:style w:type="paragraph" w:styleId="10">
    <w:name w:val="toc 1"/>
    <w:basedOn w:val="a"/>
    <w:next w:val="a"/>
    <w:autoRedefine/>
    <w:uiPriority w:val="39"/>
    <w:unhideWhenUsed/>
    <w:rsid w:val="00BF1DE3"/>
    <w:pPr>
      <w:tabs>
        <w:tab w:val="right" w:leader="dot" w:pos="9016"/>
      </w:tabs>
      <w:spacing w:after="100"/>
    </w:pPr>
    <w:rPr>
      <w:rFonts w:cs="Times New Roman"/>
      <w:b/>
      <w:noProof/>
      <w:color w:val="262626" w:themeColor="text1" w:themeTint="D9"/>
      <w:lang w:val="en-US"/>
    </w:rPr>
  </w:style>
  <w:style w:type="paragraph" w:styleId="30">
    <w:name w:val="toc 3"/>
    <w:basedOn w:val="a"/>
    <w:next w:val="a"/>
    <w:autoRedefine/>
    <w:uiPriority w:val="39"/>
    <w:unhideWhenUsed/>
    <w:rsid w:val="005C623A"/>
    <w:pPr>
      <w:spacing w:after="100"/>
      <w:ind w:left="440"/>
    </w:pPr>
    <w:rPr>
      <w:rFonts w:cs="Times New Roman"/>
      <w:lang w:val="en-US"/>
    </w:rPr>
  </w:style>
  <w:style w:type="character" w:customStyle="1" w:styleId="2Char">
    <w:name w:val="제목 2 Char"/>
    <w:basedOn w:val="a0"/>
    <w:link w:val="2"/>
    <w:uiPriority w:val="9"/>
    <w:rsid w:val="00593005"/>
    <w:rPr>
      <w:rFonts w:eastAsiaTheme="majorEastAsia" w:cstheme="majorBidi"/>
      <w:b/>
      <w:i/>
      <w:color w:val="262626" w:themeColor="text1" w:themeTint="D9"/>
      <w:sz w:val="32"/>
      <w:szCs w:val="26"/>
    </w:rPr>
  </w:style>
  <w:style w:type="paragraph" w:styleId="a6">
    <w:name w:val="List Paragraph"/>
    <w:basedOn w:val="a"/>
    <w:uiPriority w:val="34"/>
    <w:qFormat/>
    <w:rsid w:val="00CA1414"/>
    <w:pPr>
      <w:ind w:left="720"/>
      <w:contextualSpacing/>
    </w:pPr>
  </w:style>
  <w:style w:type="character" w:styleId="a7">
    <w:name w:val="Hyperlink"/>
    <w:basedOn w:val="a0"/>
    <w:uiPriority w:val="99"/>
    <w:unhideWhenUsed/>
    <w:rsid w:val="00BF1DE3"/>
    <w:rPr>
      <w:color w:val="0563C1" w:themeColor="hyperlink"/>
      <w:u w:val="single"/>
    </w:rPr>
  </w:style>
  <w:style w:type="character" w:styleId="a8">
    <w:name w:val="Placeholder Text"/>
    <w:basedOn w:val="a0"/>
    <w:uiPriority w:val="99"/>
    <w:semiHidden/>
    <w:rsid w:val="002F7FD5"/>
    <w:rPr>
      <w:color w:val="808080"/>
    </w:rPr>
  </w:style>
  <w:style w:type="character" w:customStyle="1" w:styleId="3Char">
    <w:name w:val="제목 3 Char"/>
    <w:basedOn w:val="a0"/>
    <w:link w:val="3"/>
    <w:uiPriority w:val="9"/>
    <w:rsid w:val="00593005"/>
    <w:rPr>
      <w:color w:val="262626" w:themeColor="text1" w:themeTint="D9"/>
      <w:sz w:val="24"/>
      <w:szCs w:val="24"/>
      <w:u w:val="single"/>
    </w:rPr>
  </w:style>
  <w:style w:type="character" w:customStyle="1" w:styleId="4Char">
    <w:name w:val="제목 4 Char"/>
    <w:basedOn w:val="a0"/>
    <w:link w:val="4"/>
    <w:uiPriority w:val="9"/>
    <w:rsid w:val="00593005"/>
    <w:rPr>
      <w:b/>
      <w:color w:val="262626" w:themeColor="text1" w:themeTint="D9"/>
      <w:sz w:val="24"/>
    </w:rPr>
  </w:style>
  <w:style w:type="table" w:customStyle="1" w:styleId="GridTable5DarkAccent6">
    <w:name w:val="Grid Table 5 Dark Accent 6"/>
    <w:basedOn w:val="a1"/>
    <w:uiPriority w:val="50"/>
    <w:rsid w:val="00084896"/>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5DarkAccent1">
    <w:name w:val="Grid Table 5 Dark Accent 1"/>
    <w:basedOn w:val="a1"/>
    <w:uiPriority w:val="50"/>
    <w:rsid w:val="00CD7FE0"/>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selectable">
    <w:name w:val="selectable"/>
    <w:basedOn w:val="a0"/>
    <w:rsid w:val="009C5454"/>
  </w:style>
  <w:style w:type="paragraph" w:styleId="a9">
    <w:name w:val="Balloon Text"/>
    <w:basedOn w:val="a"/>
    <w:link w:val="Char2"/>
    <w:uiPriority w:val="99"/>
    <w:semiHidden/>
    <w:unhideWhenUsed/>
    <w:rsid w:val="006266AF"/>
    <w:pPr>
      <w:spacing w:after="0" w:line="240" w:lineRule="auto"/>
    </w:pPr>
    <w:rPr>
      <w:rFonts w:asciiTheme="majorHAnsi" w:eastAsiaTheme="majorEastAsia" w:hAnsiTheme="majorHAnsi" w:cstheme="majorBidi"/>
      <w:sz w:val="18"/>
      <w:szCs w:val="18"/>
    </w:rPr>
  </w:style>
  <w:style w:type="character" w:customStyle="1" w:styleId="Char2">
    <w:name w:val="풍선 도움말 텍스트 Char"/>
    <w:basedOn w:val="a0"/>
    <w:link w:val="a9"/>
    <w:uiPriority w:val="99"/>
    <w:semiHidden/>
    <w:rsid w:val="006266A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93576">
      <w:bodyDiv w:val="1"/>
      <w:marLeft w:val="0"/>
      <w:marRight w:val="0"/>
      <w:marTop w:val="0"/>
      <w:marBottom w:val="0"/>
      <w:divBdr>
        <w:top w:val="none" w:sz="0" w:space="0" w:color="auto"/>
        <w:left w:val="none" w:sz="0" w:space="0" w:color="auto"/>
        <w:bottom w:val="none" w:sz="0" w:space="0" w:color="auto"/>
        <w:right w:val="none" w:sz="0" w:space="0" w:color="auto"/>
      </w:divBdr>
    </w:div>
    <w:div w:id="120926710">
      <w:bodyDiv w:val="1"/>
      <w:marLeft w:val="0"/>
      <w:marRight w:val="0"/>
      <w:marTop w:val="0"/>
      <w:marBottom w:val="0"/>
      <w:divBdr>
        <w:top w:val="none" w:sz="0" w:space="0" w:color="auto"/>
        <w:left w:val="none" w:sz="0" w:space="0" w:color="auto"/>
        <w:bottom w:val="none" w:sz="0" w:space="0" w:color="auto"/>
        <w:right w:val="none" w:sz="0" w:space="0" w:color="auto"/>
      </w:divBdr>
    </w:div>
    <w:div w:id="388726372">
      <w:bodyDiv w:val="1"/>
      <w:marLeft w:val="0"/>
      <w:marRight w:val="0"/>
      <w:marTop w:val="0"/>
      <w:marBottom w:val="0"/>
      <w:divBdr>
        <w:top w:val="none" w:sz="0" w:space="0" w:color="auto"/>
        <w:left w:val="none" w:sz="0" w:space="0" w:color="auto"/>
        <w:bottom w:val="none" w:sz="0" w:space="0" w:color="auto"/>
        <w:right w:val="none" w:sz="0" w:space="0" w:color="auto"/>
      </w:divBdr>
    </w:div>
    <w:div w:id="521238300">
      <w:bodyDiv w:val="1"/>
      <w:marLeft w:val="0"/>
      <w:marRight w:val="0"/>
      <w:marTop w:val="0"/>
      <w:marBottom w:val="0"/>
      <w:divBdr>
        <w:top w:val="none" w:sz="0" w:space="0" w:color="auto"/>
        <w:left w:val="none" w:sz="0" w:space="0" w:color="auto"/>
        <w:bottom w:val="none" w:sz="0" w:space="0" w:color="auto"/>
        <w:right w:val="none" w:sz="0" w:space="0" w:color="auto"/>
      </w:divBdr>
    </w:div>
    <w:div w:id="560289160">
      <w:bodyDiv w:val="1"/>
      <w:marLeft w:val="0"/>
      <w:marRight w:val="0"/>
      <w:marTop w:val="0"/>
      <w:marBottom w:val="0"/>
      <w:divBdr>
        <w:top w:val="none" w:sz="0" w:space="0" w:color="auto"/>
        <w:left w:val="none" w:sz="0" w:space="0" w:color="auto"/>
        <w:bottom w:val="none" w:sz="0" w:space="0" w:color="auto"/>
        <w:right w:val="none" w:sz="0" w:space="0" w:color="auto"/>
      </w:divBdr>
    </w:div>
    <w:div w:id="715154543">
      <w:bodyDiv w:val="1"/>
      <w:marLeft w:val="0"/>
      <w:marRight w:val="0"/>
      <w:marTop w:val="0"/>
      <w:marBottom w:val="0"/>
      <w:divBdr>
        <w:top w:val="none" w:sz="0" w:space="0" w:color="auto"/>
        <w:left w:val="none" w:sz="0" w:space="0" w:color="auto"/>
        <w:bottom w:val="none" w:sz="0" w:space="0" w:color="auto"/>
        <w:right w:val="none" w:sz="0" w:space="0" w:color="auto"/>
      </w:divBdr>
    </w:div>
    <w:div w:id="809177846">
      <w:bodyDiv w:val="1"/>
      <w:marLeft w:val="0"/>
      <w:marRight w:val="0"/>
      <w:marTop w:val="0"/>
      <w:marBottom w:val="0"/>
      <w:divBdr>
        <w:top w:val="none" w:sz="0" w:space="0" w:color="auto"/>
        <w:left w:val="none" w:sz="0" w:space="0" w:color="auto"/>
        <w:bottom w:val="none" w:sz="0" w:space="0" w:color="auto"/>
        <w:right w:val="none" w:sz="0" w:space="0" w:color="auto"/>
      </w:divBdr>
    </w:div>
    <w:div w:id="970750774">
      <w:bodyDiv w:val="1"/>
      <w:marLeft w:val="0"/>
      <w:marRight w:val="0"/>
      <w:marTop w:val="0"/>
      <w:marBottom w:val="0"/>
      <w:divBdr>
        <w:top w:val="none" w:sz="0" w:space="0" w:color="auto"/>
        <w:left w:val="none" w:sz="0" w:space="0" w:color="auto"/>
        <w:bottom w:val="none" w:sz="0" w:space="0" w:color="auto"/>
        <w:right w:val="none" w:sz="0" w:space="0" w:color="auto"/>
      </w:divBdr>
    </w:div>
    <w:div w:id="1093093424">
      <w:bodyDiv w:val="1"/>
      <w:marLeft w:val="0"/>
      <w:marRight w:val="0"/>
      <w:marTop w:val="0"/>
      <w:marBottom w:val="0"/>
      <w:divBdr>
        <w:top w:val="none" w:sz="0" w:space="0" w:color="auto"/>
        <w:left w:val="none" w:sz="0" w:space="0" w:color="auto"/>
        <w:bottom w:val="none" w:sz="0" w:space="0" w:color="auto"/>
        <w:right w:val="none" w:sz="0" w:space="0" w:color="auto"/>
      </w:divBdr>
    </w:div>
    <w:div w:id="1271355006">
      <w:bodyDiv w:val="1"/>
      <w:marLeft w:val="0"/>
      <w:marRight w:val="0"/>
      <w:marTop w:val="0"/>
      <w:marBottom w:val="0"/>
      <w:divBdr>
        <w:top w:val="none" w:sz="0" w:space="0" w:color="auto"/>
        <w:left w:val="none" w:sz="0" w:space="0" w:color="auto"/>
        <w:bottom w:val="none" w:sz="0" w:space="0" w:color="auto"/>
        <w:right w:val="none" w:sz="0" w:space="0" w:color="auto"/>
      </w:divBdr>
    </w:div>
    <w:div w:id="1303580204">
      <w:bodyDiv w:val="1"/>
      <w:marLeft w:val="0"/>
      <w:marRight w:val="0"/>
      <w:marTop w:val="0"/>
      <w:marBottom w:val="0"/>
      <w:divBdr>
        <w:top w:val="none" w:sz="0" w:space="0" w:color="auto"/>
        <w:left w:val="none" w:sz="0" w:space="0" w:color="auto"/>
        <w:bottom w:val="none" w:sz="0" w:space="0" w:color="auto"/>
        <w:right w:val="none" w:sz="0" w:space="0" w:color="auto"/>
      </w:divBdr>
    </w:div>
    <w:div w:id="1319963135">
      <w:bodyDiv w:val="1"/>
      <w:marLeft w:val="0"/>
      <w:marRight w:val="0"/>
      <w:marTop w:val="0"/>
      <w:marBottom w:val="0"/>
      <w:divBdr>
        <w:top w:val="none" w:sz="0" w:space="0" w:color="auto"/>
        <w:left w:val="none" w:sz="0" w:space="0" w:color="auto"/>
        <w:bottom w:val="none" w:sz="0" w:space="0" w:color="auto"/>
        <w:right w:val="none" w:sz="0" w:space="0" w:color="auto"/>
      </w:divBdr>
    </w:div>
    <w:div w:id="1325820860">
      <w:bodyDiv w:val="1"/>
      <w:marLeft w:val="0"/>
      <w:marRight w:val="0"/>
      <w:marTop w:val="0"/>
      <w:marBottom w:val="0"/>
      <w:divBdr>
        <w:top w:val="none" w:sz="0" w:space="0" w:color="auto"/>
        <w:left w:val="none" w:sz="0" w:space="0" w:color="auto"/>
        <w:bottom w:val="none" w:sz="0" w:space="0" w:color="auto"/>
        <w:right w:val="none" w:sz="0" w:space="0" w:color="auto"/>
      </w:divBdr>
    </w:div>
    <w:div w:id="1953003940">
      <w:bodyDiv w:val="1"/>
      <w:marLeft w:val="0"/>
      <w:marRight w:val="0"/>
      <w:marTop w:val="0"/>
      <w:marBottom w:val="0"/>
      <w:divBdr>
        <w:top w:val="none" w:sz="0" w:space="0" w:color="auto"/>
        <w:left w:val="none" w:sz="0" w:space="0" w:color="auto"/>
        <w:bottom w:val="none" w:sz="0" w:space="0" w:color="auto"/>
        <w:right w:val="none" w:sz="0" w:space="0" w:color="auto"/>
      </w:divBdr>
    </w:div>
    <w:div w:id="2071347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2015-05-29T00:00:00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8415AF8-20B6-48F2-A480-03551988E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2508</Words>
  <Characters>14299</Characters>
  <Application>Microsoft Office Word</Application>
  <DocSecurity>0</DocSecurity>
  <Lines>119</Lines>
  <Paragraphs>33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ACCG350: Financial Statement Analysis</vt:lpstr>
      <vt:lpstr>ACCG350: Financial Statement Analysis</vt:lpstr>
    </vt:vector>
  </TitlesOfParts>
  <Company>42871395</Company>
  <LinksUpToDate>false</LinksUpToDate>
  <CharactersWithSpaces>16774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ACCG350: Financial Statement Analysis</dc:title>
  <dc:subject>Individual Report</dc:subject>
  <dc:creator>Samuel Grose</dc:creator>
  <cp:keywords/>
  <dc:description/>
  <cp:lastModifiedBy>김나경</cp:lastModifiedBy>
  <cp:revision>3</cp:revision>
  <dcterms:created xsi:type="dcterms:W3CDTF">2015-05-29T01:36:00Z</dcterms:created>
  <dcterms:modified xsi:type="dcterms:W3CDTF">2017-06-03T06:52:00Z</dcterms:modified>
</cp:coreProperties>
</file>